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line="360" w:lineRule="auto"/>
        <w:rPr>
          <w:rFonts w:hint="eastAsia"/>
        </w:rPr>
      </w:pPr>
      <w:bookmarkStart w:id="91" w:name="_GoBack"/>
      <w:bookmarkEnd w:id="91"/>
      <w:bookmarkStart w:id="0" w:name="_Toc154455729"/>
      <w:bookmarkStart w:id="1" w:name="_Toc154455685"/>
      <w:bookmarkStart w:id="2" w:name="_Toc155007915"/>
      <w:bookmarkStart w:id="3" w:name="_Toc154657563"/>
      <w:bookmarkStart w:id="4" w:name="_Toc154408188"/>
      <w:bookmarkStart w:id="5" w:name="_Toc155006176"/>
      <w:bookmarkStart w:id="6" w:name="_Toc155090932"/>
      <w:bookmarkStart w:id="7" w:name="_Toc187142136"/>
      <w:bookmarkStart w:id="8" w:name="_Toc154477098"/>
      <w:bookmarkStart w:id="9" w:name="_Toc154562091"/>
      <w:bookmarkStart w:id="10" w:name="_Toc154374286"/>
      <w:bookmarkStart w:id="11" w:name="_Toc155006814"/>
    </w:p>
    <w:p>
      <w:pPr>
        <w:pStyle w:val="17"/>
        <w:spacing w:line="360" w:lineRule="auto"/>
        <w:rPr>
          <w:rFonts w:hint="eastAsia"/>
        </w:rPr>
      </w:pPr>
    </w:p>
    <w:p>
      <w:pPr>
        <w:spacing w:line="360" w:lineRule="auto"/>
        <w:jc w:val="center"/>
        <w:rPr>
          <w:rFonts w:hint="eastAsia" w:ascii="仿宋_GB2312" w:eastAsia="仿宋_GB2312"/>
          <w:b/>
          <w:sz w:val="36"/>
          <w:szCs w:val="36"/>
        </w:rPr>
      </w:pPr>
      <w:r>
        <w:rPr>
          <w:rFonts w:hint="eastAsia" w:ascii="仿宋_GB2312" w:eastAsia="仿宋_GB2312"/>
          <w:b/>
          <w:sz w:val="36"/>
          <w:szCs w:val="36"/>
        </w:rPr>
        <w:t>现代远程教育试点高校网络教育部分公共基础课</w:t>
      </w:r>
    </w:p>
    <w:p>
      <w:pPr>
        <w:spacing w:line="360" w:lineRule="auto"/>
        <w:jc w:val="center"/>
        <w:rPr>
          <w:rFonts w:hint="eastAsia" w:ascii="仿宋_GB2312" w:eastAsia="仿宋_GB2312"/>
          <w:b/>
          <w:sz w:val="36"/>
          <w:szCs w:val="36"/>
        </w:rPr>
      </w:pPr>
      <w:r>
        <w:rPr>
          <w:rFonts w:hint="eastAsia" w:ascii="仿宋_GB2312" w:eastAsia="仿宋_GB2312"/>
          <w:b/>
          <w:sz w:val="36"/>
          <w:szCs w:val="36"/>
        </w:rPr>
        <w:t>全国统一考试</w:t>
      </w:r>
    </w:p>
    <w:p>
      <w:pPr>
        <w:rPr>
          <w:rFonts w:hint="eastAsia"/>
        </w:rPr>
      </w:pPr>
    </w:p>
    <w:p>
      <w:pPr>
        <w:rPr>
          <w:rFonts w:hint="eastAsia"/>
        </w:rPr>
      </w:pPr>
    </w:p>
    <w:p>
      <w:pPr>
        <w:pStyle w:val="17"/>
        <w:spacing w:line="360" w:lineRule="auto"/>
        <w:rPr>
          <w:rFonts w:hint="eastAsia"/>
          <w:sz w:val="44"/>
          <w:szCs w:val="44"/>
        </w:rPr>
      </w:pPr>
      <w:r>
        <w:rPr>
          <w:rFonts w:hint="eastAsia"/>
          <w:sz w:val="44"/>
          <w:szCs w:val="44"/>
        </w:rPr>
        <w:t>学习中心操作指南</w:t>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jc w:val="right"/>
        <w:rPr>
          <w:rFonts w:hint="eastAsia" w:ascii="仿宋_GB2312" w:eastAsia="仿宋_GB2312"/>
          <w:b/>
          <w:sz w:val="28"/>
          <w:szCs w:val="28"/>
        </w:rPr>
      </w:pPr>
      <w:r>
        <w:rPr>
          <w:rFonts w:hint="eastAsia" w:ascii="仿宋_GB2312" w:eastAsia="仿宋_GB2312"/>
          <w:b/>
          <w:sz w:val="28"/>
          <w:szCs w:val="28"/>
        </w:rPr>
        <w:t>北京希普无忧教育科技有限公司</w:t>
      </w:r>
    </w:p>
    <w:p>
      <w:pPr>
        <w:spacing w:line="360" w:lineRule="auto"/>
        <w:rPr>
          <w:rFonts w:hint="eastAsia" w:ascii="仿宋_GB2312" w:eastAsia="仿宋_GB2312"/>
          <w:b/>
          <w:sz w:val="28"/>
          <w:szCs w:val="28"/>
        </w:rPr>
      </w:pPr>
      <w:r>
        <w:rPr>
          <w:rFonts w:hint="eastAsia" w:ascii="仿宋_GB2312" w:eastAsia="仿宋_GB2312"/>
          <w:b/>
          <w:sz w:val="28"/>
          <w:szCs w:val="28"/>
        </w:rPr>
        <w:t xml:space="preserve">                                      2019年1月18日</w:t>
      </w:r>
    </w:p>
    <w:p>
      <w:pPr>
        <w:spacing w:line="360" w:lineRule="auto"/>
        <w:rPr>
          <w:rFonts w:hint="eastAsia"/>
        </w:rPr>
      </w:pPr>
    </w:p>
    <w:p>
      <w:pPr>
        <w:spacing w:line="360" w:lineRule="auto"/>
        <w:rPr>
          <w:rFonts w:hint="eastAsia"/>
        </w:rPr>
      </w:pPr>
    </w:p>
    <w:p>
      <w:pPr>
        <w:pStyle w:val="17"/>
        <w:spacing w:line="360" w:lineRule="auto"/>
        <w:ind w:left="0" w:leftChars="0"/>
        <w:jc w:val="both"/>
        <w:rPr>
          <w:rFonts w:hint="eastAsia"/>
        </w:rPr>
      </w:pPr>
    </w:p>
    <w:p>
      <w:pPr>
        <w:pStyle w:val="17"/>
        <w:spacing w:line="360" w:lineRule="auto"/>
        <w:rPr>
          <w:rFonts w:hint="eastAsia"/>
          <w:sz w:val="44"/>
          <w:szCs w:val="44"/>
        </w:rPr>
      </w:pPr>
      <w:r>
        <w:rPr>
          <w:rFonts w:hint="eastAsia"/>
          <w:sz w:val="44"/>
          <w:szCs w:val="44"/>
        </w:rPr>
        <w:t>目  录</w:t>
      </w:r>
    </w:p>
    <w:p>
      <w:pPr>
        <w:pStyle w:val="17"/>
        <w:rPr>
          <w:rFonts w:ascii="仿宋" w:hAnsi="仿宋" w:eastAsia="仿宋"/>
          <w:b w:val="0"/>
        </w:rPr>
      </w:pPr>
      <w:r>
        <w:rPr>
          <w:rFonts w:hint="eastAsia" w:ascii="仿宋" w:hAnsi="仿宋" w:eastAsia="仿宋"/>
        </w:rPr>
        <w:fldChar w:fldCharType="begin"/>
      </w:r>
      <w:r>
        <w:rPr>
          <w:rFonts w:hint="eastAsia" w:ascii="仿宋" w:hAnsi="仿宋" w:eastAsia="仿宋"/>
        </w:rPr>
        <w:instrText xml:space="preserve"> TOC \o "1-3" \h \z \u </w:instrText>
      </w:r>
      <w:r>
        <w:rPr>
          <w:rFonts w:hint="eastAsia" w:ascii="仿宋" w:hAnsi="仿宋" w:eastAsia="仿宋"/>
        </w:rPr>
        <w:fldChar w:fldCharType="separate"/>
      </w:r>
      <w:r>
        <w:rPr>
          <w:rFonts w:ascii="仿宋" w:hAnsi="仿宋" w:eastAsia="仿宋"/>
        </w:rPr>
        <w:fldChar w:fldCharType="begin"/>
      </w:r>
      <w:r>
        <w:rPr>
          <w:rStyle w:val="23"/>
          <w:rFonts w:ascii="仿宋" w:hAnsi="仿宋" w:eastAsia="仿宋"/>
        </w:rPr>
        <w:instrText xml:space="preserve"> </w:instrText>
      </w:r>
      <w:r>
        <w:rPr>
          <w:rFonts w:ascii="仿宋" w:hAnsi="仿宋" w:eastAsia="仿宋"/>
        </w:rPr>
        <w:instrText xml:space="preserve">HYPERLINK \l "_Toc535574111"</w:instrText>
      </w:r>
      <w:r>
        <w:rPr>
          <w:rStyle w:val="23"/>
          <w:rFonts w:ascii="仿宋" w:hAnsi="仿宋" w:eastAsia="仿宋"/>
        </w:rPr>
        <w:instrText xml:space="preserve"> </w:instrText>
      </w:r>
      <w:r>
        <w:rPr>
          <w:rFonts w:ascii="仿宋" w:hAnsi="仿宋" w:eastAsia="仿宋"/>
        </w:rPr>
        <w:fldChar w:fldCharType="separate"/>
      </w:r>
      <w:r>
        <w:rPr>
          <w:rStyle w:val="23"/>
          <w:rFonts w:hint="eastAsia" w:ascii="仿宋" w:hAnsi="仿宋" w:eastAsia="仿宋"/>
        </w:rPr>
        <w:t>前</w:t>
      </w:r>
      <w:r>
        <w:rPr>
          <w:rStyle w:val="23"/>
          <w:rFonts w:ascii="仿宋" w:hAnsi="仿宋" w:eastAsia="仿宋"/>
        </w:rPr>
        <w:t xml:space="preserve">  </w:t>
      </w:r>
      <w:r>
        <w:rPr>
          <w:rStyle w:val="23"/>
          <w:rFonts w:hint="eastAsia" w:ascii="仿宋" w:hAnsi="仿宋" w:eastAsia="仿宋"/>
        </w:rPr>
        <w:t>言</w:t>
      </w:r>
      <w:r>
        <w:rPr>
          <w:rFonts w:ascii="仿宋" w:hAnsi="仿宋" w:eastAsia="仿宋"/>
        </w:rPr>
        <w:tab/>
      </w:r>
      <w:r>
        <w:rPr>
          <w:rFonts w:ascii="仿宋" w:hAnsi="仿宋" w:eastAsia="仿宋"/>
        </w:rPr>
        <w:fldChar w:fldCharType="begin"/>
      </w:r>
      <w:r>
        <w:rPr>
          <w:rFonts w:ascii="仿宋" w:hAnsi="仿宋" w:eastAsia="仿宋"/>
        </w:rPr>
        <w:instrText xml:space="preserve"> PAGEREF _Toc535574111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pPr>
        <w:pStyle w:val="17"/>
        <w:rPr>
          <w:rFonts w:ascii="仿宋" w:hAnsi="仿宋" w:eastAsia="仿宋"/>
          <w:b w:val="0"/>
        </w:rPr>
      </w:pPr>
      <w:r>
        <w:rPr>
          <w:rFonts w:ascii="仿宋" w:hAnsi="仿宋" w:eastAsia="仿宋"/>
        </w:rPr>
        <w:fldChar w:fldCharType="begin"/>
      </w:r>
      <w:r>
        <w:rPr>
          <w:rStyle w:val="23"/>
          <w:rFonts w:ascii="仿宋" w:hAnsi="仿宋" w:eastAsia="仿宋"/>
        </w:rPr>
        <w:instrText xml:space="preserve"> </w:instrText>
      </w:r>
      <w:r>
        <w:rPr>
          <w:rFonts w:ascii="仿宋" w:hAnsi="仿宋" w:eastAsia="仿宋"/>
        </w:rPr>
        <w:instrText xml:space="preserve">HYPERLINK \l "_Toc535574112"</w:instrText>
      </w:r>
      <w:r>
        <w:rPr>
          <w:rStyle w:val="23"/>
          <w:rFonts w:ascii="仿宋" w:hAnsi="仿宋" w:eastAsia="仿宋"/>
        </w:rPr>
        <w:instrText xml:space="preserve"> </w:instrText>
      </w:r>
      <w:r>
        <w:rPr>
          <w:rFonts w:ascii="仿宋" w:hAnsi="仿宋" w:eastAsia="仿宋"/>
        </w:rPr>
        <w:fldChar w:fldCharType="separate"/>
      </w:r>
      <w:r>
        <w:rPr>
          <w:rStyle w:val="23"/>
          <w:rFonts w:hint="eastAsia" w:ascii="仿宋" w:hAnsi="仿宋" w:eastAsia="仿宋"/>
        </w:rPr>
        <w:t>一、</w:t>
      </w:r>
      <w:r>
        <w:rPr>
          <w:rStyle w:val="23"/>
          <w:rFonts w:ascii="仿宋" w:hAnsi="仿宋" w:eastAsia="仿宋"/>
        </w:rPr>
        <w:t xml:space="preserve"> </w:t>
      </w:r>
      <w:r>
        <w:rPr>
          <w:rStyle w:val="23"/>
          <w:rFonts w:hint="eastAsia" w:ascii="仿宋" w:hAnsi="仿宋" w:eastAsia="仿宋"/>
        </w:rPr>
        <w:t>统考信息管理系统</w:t>
      </w:r>
      <w:r>
        <w:rPr>
          <w:rFonts w:ascii="仿宋" w:hAnsi="仿宋" w:eastAsia="仿宋"/>
        </w:rPr>
        <w:tab/>
      </w:r>
      <w:r>
        <w:rPr>
          <w:rFonts w:ascii="仿宋" w:hAnsi="仿宋" w:eastAsia="仿宋"/>
        </w:rPr>
        <w:fldChar w:fldCharType="begin"/>
      </w:r>
      <w:r>
        <w:rPr>
          <w:rFonts w:ascii="仿宋" w:hAnsi="仿宋" w:eastAsia="仿宋"/>
        </w:rPr>
        <w:instrText xml:space="preserve"> PAGEREF _Toc535574112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11"/>
        <w:rPr>
          <w:rFonts w:ascii="仿宋" w:hAnsi="仿宋" w:eastAsia="仿宋"/>
          <w:b w:val="0"/>
          <w:sz w:val="32"/>
          <w:szCs w:val="32"/>
          <w:lang w:val="en-US" w:eastAsia="zh-CN"/>
        </w:rPr>
      </w:pPr>
      <w:r>
        <w:rPr>
          <w:rFonts w:ascii="仿宋" w:hAnsi="仿宋" w:eastAsia="仿宋"/>
          <w:sz w:val="32"/>
          <w:szCs w:val="32"/>
        </w:rPr>
        <w:fldChar w:fldCharType="begin"/>
      </w:r>
      <w:r>
        <w:rPr>
          <w:rStyle w:val="23"/>
          <w:rFonts w:ascii="仿宋" w:hAnsi="仿宋" w:eastAsia="仿宋"/>
          <w:sz w:val="32"/>
          <w:szCs w:val="32"/>
        </w:rPr>
        <w:instrText xml:space="preserve"> </w:instrText>
      </w:r>
      <w:r>
        <w:rPr>
          <w:rFonts w:ascii="仿宋" w:hAnsi="仿宋" w:eastAsia="仿宋"/>
          <w:sz w:val="32"/>
          <w:szCs w:val="32"/>
        </w:rPr>
        <w:instrText xml:space="preserve">HYPERLINK \l "_Toc535574113"</w:instrText>
      </w:r>
      <w:r>
        <w:rPr>
          <w:rStyle w:val="23"/>
          <w:rFonts w:ascii="仿宋" w:hAnsi="仿宋" w:eastAsia="仿宋"/>
          <w:sz w:val="32"/>
          <w:szCs w:val="32"/>
        </w:rPr>
        <w:instrText xml:space="preserve"> </w:instrText>
      </w:r>
      <w:r>
        <w:rPr>
          <w:rFonts w:ascii="仿宋" w:hAnsi="仿宋" w:eastAsia="仿宋"/>
          <w:sz w:val="32"/>
          <w:szCs w:val="32"/>
        </w:rPr>
        <w:fldChar w:fldCharType="separate"/>
      </w:r>
      <w:r>
        <w:rPr>
          <w:rStyle w:val="23"/>
          <w:rFonts w:ascii="仿宋" w:hAnsi="仿宋" w:eastAsia="仿宋"/>
          <w:sz w:val="32"/>
          <w:szCs w:val="32"/>
        </w:rPr>
        <w:t>1.</w:t>
      </w:r>
      <w:r>
        <w:rPr>
          <w:rStyle w:val="23"/>
          <w:rFonts w:hint="eastAsia" w:ascii="仿宋" w:hAnsi="仿宋" w:eastAsia="仿宋"/>
          <w:sz w:val="32"/>
          <w:szCs w:val="32"/>
          <w:lang w:eastAsia="zh-CN"/>
        </w:rPr>
        <w:t>1</w:t>
      </w:r>
      <w:r>
        <w:rPr>
          <w:rStyle w:val="23"/>
          <w:rFonts w:hint="eastAsia" w:ascii="仿宋" w:hAnsi="仿宋" w:eastAsia="仿宋"/>
          <w:sz w:val="32"/>
          <w:szCs w:val="32"/>
        </w:rPr>
        <w:t>考生基本信息</w:t>
      </w:r>
      <w:bookmarkStart w:id="12" w:name="_Hlt535574183"/>
      <w:r>
        <w:rPr>
          <w:rStyle w:val="23"/>
          <w:rFonts w:hint="eastAsia" w:ascii="仿宋" w:hAnsi="仿宋" w:eastAsia="仿宋"/>
          <w:sz w:val="32"/>
          <w:szCs w:val="32"/>
        </w:rPr>
        <w:t>查</w:t>
      </w:r>
      <w:bookmarkEnd w:id="12"/>
      <w:r>
        <w:rPr>
          <w:rStyle w:val="23"/>
          <w:rFonts w:hint="eastAsia" w:ascii="仿宋" w:hAnsi="仿宋" w:eastAsia="仿宋"/>
          <w:sz w:val="32"/>
          <w:szCs w:val="32"/>
        </w:rPr>
        <w:t>看</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_Toc535574113 \h </w:instrText>
      </w:r>
      <w:r>
        <w:rPr>
          <w:rFonts w:ascii="仿宋" w:hAnsi="仿宋" w:eastAsia="仿宋"/>
          <w:sz w:val="32"/>
          <w:szCs w:val="32"/>
        </w:rPr>
        <w:fldChar w:fldCharType="separate"/>
      </w:r>
      <w:r>
        <w:rPr>
          <w:rFonts w:ascii="仿宋" w:hAnsi="仿宋" w:eastAsia="仿宋"/>
          <w:sz w:val="32"/>
          <w:szCs w:val="32"/>
        </w:rPr>
        <w:t>2</w:t>
      </w:r>
      <w:r>
        <w:rPr>
          <w:rFonts w:ascii="仿宋" w:hAnsi="仿宋" w:eastAsia="仿宋"/>
          <w:sz w:val="32"/>
          <w:szCs w:val="32"/>
        </w:rPr>
        <w:fldChar w:fldCharType="end"/>
      </w:r>
      <w:r>
        <w:rPr>
          <w:rFonts w:ascii="仿宋" w:hAnsi="仿宋" w:eastAsia="仿宋"/>
          <w:sz w:val="32"/>
          <w:szCs w:val="32"/>
        </w:rPr>
        <w:fldChar w:fldCharType="end"/>
      </w:r>
    </w:p>
    <w:p>
      <w:pPr>
        <w:pStyle w:val="11"/>
        <w:rPr>
          <w:rFonts w:ascii="仿宋" w:hAnsi="仿宋" w:eastAsia="仿宋"/>
          <w:b w:val="0"/>
          <w:sz w:val="32"/>
          <w:szCs w:val="32"/>
          <w:lang w:val="en-US" w:eastAsia="zh-CN"/>
        </w:rPr>
      </w:pPr>
      <w:r>
        <w:rPr>
          <w:rFonts w:ascii="仿宋" w:hAnsi="仿宋" w:eastAsia="仿宋"/>
          <w:sz w:val="32"/>
          <w:szCs w:val="32"/>
        </w:rPr>
        <w:fldChar w:fldCharType="begin"/>
      </w:r>
      <w:r>
        <w:rPr>
          <w:rStyle w:val="23"/>
          <w:rFonts w:ascii="仿宋" w:hAnsi="仿宋" w:eastAsia="仿宋"/>
          <w:sz w:val="32"/>
          <w:szCs w:val="32"/>
        </w:rPr>
        <w:instrText xml:space="preserve"> </w:instrText>
      </w:r>
      <w:r>
        <w:rPr>
          <w:rFonts w:ascii="仿宋" w:hAnsi="仿宋" w:eastAsia="仿宋"/>
          <w:sz w:val="32"/>
          <w:szCs w:val="32"/>
        </w:rPr>
        <w:instrText xml:space="preserve">HYPERLINK \l "_Toc535574114"</w:instrText>
      </w:r>
      <w:r>
        <w:rPr>
          <w:rStyle w:val="23"/>
          <w:rFonts w:ascii="仿宋" w:hAnsi="仿宋" w:eastAsia="仿宋"/>
          <w:sz w:val="32"/>
          <w:szCs w:val="32"/>
        </w:rPr>
        <w:instrText xml:space="preserve"> </w:instrText>
      </w:r>
      <w:r>
        <w:rPr>
          <w:rFonts w:ascii="仿宋" w:hAnsi="仿宋" w:eastAsia="仿宋"/>
          <w:sz w:val="32"/>
          <w:szCs w:val="32"/>
        </w:rPr>
        <w:fldChar w:fldCharType="separate"/>
      </w:r>
      <w:r>
        <w:rPr>
          <w:rStyle w:val="23"/>
          <w:rFonts w:ascii="仿宋" w:hAnsi="仿宋" w:eastAsia="仿宋"/>
          <w:sz w:val="32"/>
          <w:szCs w:val="32"/>
        </w:rPr>
        <w:t>1.2</w:t>
      </w:r>
      <w:r>
        <w:rPr>
          <w:rStyle w:val="23"/>
          <w:rFonts w:hint="eastAsia" w:ascii="仿宋" w:hAnsi="仿宋" w:eastAsia="仿宋"/>
          <w:sz w:val="32"/>
          <w:szCs w:val="32"/>
        </w:rPr>
        <w:t>学习中心管理</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_Toc535574114 \h </w:instrText>
      </w:r>
      <w:r>
        <w:rPr>
          <w:rFonts w:ascii="仿宋" w:hAnsi="仿宋" w:eastAsia="仿宋"/>
          <w:sz w:val="32"/>
          <w:szCs w:val="32"/>
        </w:rPr>
        <w:fldChar w:fldCharType="separate"/>
      </w:r>
      <w:r>
        <w:rPr>
          <w:rFonts w:ascii="仿宋" w:hAnsi="仿宋" w:eastAsia="仿宋"/>
          <w:sz w:val="32"/>
          <w:szCs w:val="32"/>
        </w:rPr>
        <w:t>6</w:t>
      </w:r>
      <w:r>
        <w:rPr>
          <w:rFonts w:ascii="仿宋" w:hAnsi="仿宋" w:eastAsia="仿宋"/>
          <w:sz w:val="32"/>
          <w:szCs w:val="32"/>
        </w:rPr>
        <w:fldChar w:fldCharType="end"/>
      </w:r>
      <w:r>
        <w:rPr>
          <w:rFonts w:ascii="仿宋" w:hAnsi="仿宋" w:eastAsia="仿宋"/>
          <w:sz w:val="32"/>
          <w:szCs w:val="32"/>
        </w:rPr>
        <w:fldChar w:fldCharType="end"/>
      </w:r>
    </w:p>
    <w:p>
      <w:pPr>
        <w:pStyle w:val="11"/>
        <w:rPr>
          <w:rFonts w:ascii="仿宋" w:hAnsi="仿宋" w:eastAsia="仿宋"/>
          <w:b w:val="0"/>
          <w:sz w:val="32"/>
          <w:szCs w:val="32"/>
          <w:lang w:val="en-US" w:eastAsia="zh-CN"/>
        </w:rPr>
      </w:pPr>
      <w:r>
        <w:rPr>
          <w:rFonts w:ascii="仿宋" w:hAnsi="仿宋" w:eastAsia="仿宋"/>
          <w:sz w:val="32"/>
          <w:szCs w:val="32"/>
        </w:rPr>
        <w:fldChar w:fldCharType="begin"/>
      </w:r>
      <w:r>
        <w:rPr>
          <w:rStyle w:val="23"/>
          <w:rFonts w:ascii="仿宋" w:hAnsi="仿宋" w:eastAsia="仿宋"/>
          <w:sz w:val="32"/>
          <w:szCs w:val="32"/>
        </w:rPr>
        <w:instrText xml:space="preserve"> </w:instrText>
      </w:r>
      <w:r>
        <w:rPr>
          <w:rFonts w:ascii="仿宋" w:hAnsi="仿宋" w:eastAsia="仿宋"/>
          <w:sz w:val="32"/>
          <w:szCs w:val="32"/>
        </w:rPr>
        <w:instrText xml:space="preserve">HYPERLINK \l "_Toc535574115"</w:instrText>
      </w:r>
      <w:r>
        <w:rPr>
          <w:rStyle w:val="23"/>
          <w:rFonts w:ascii="仿宋" w:hAnsi="仿宋" w:eastAsia="仿宋"/>
          <w:sz w:val="32"/>
          <w:szCs w:val="32"/>
        </w:rPr>
        <w:instrText xml:space="preserve"> </w:instrText>
      </w:r>
      <w:r>
        <w:rPr>
          <w:rFonts w:ascii="仿宋" w:hAnsi="仿宋" w:eastAsia="仿宋"/>
          <w:sz w:val="32"/>
          <w:szCs w:val="32"/>
        </w:rPr>
        <w:fldChar w:fldCharType="separate"/>
      </w:r>
      <w:r>
        <w:rPr>
          <w:rStyle w:val="23"/>
          <w:rFonts w:ascii="仿宋" w:hAnsi="仿宋" w:eastAsia="仿宋"/>
          <w:sz w:val="32"/>
          <w:szCs w:val="32"/>
        </w:rPr>
        <w:t>1.3</w:t>
      </w:r>
      <w:r>
        <w:rPr>
          <w:rStyle w:val="23"/>
          <w:rFonts w:hint="eastAsia" w:ascii="仿宋" w:hAnsi="仿宋" w:eastAsia="仿宋"/>
          <w:sz w:val="32"/>
          <w:szCs w:val="32"/>
        </w:rPr>
        <w:t>报考数据管理</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_Toc535574115 \h </w:instrText>
      </w:r>
      <w:r>
        <w:rPr>
          <w:rFonts w:ascii="仿宋" w:hAnsi="仿宋" w:eastAsia="仿宋"/>
          <w:sz w:val="32"/>
          <w:szCs w:val="32"/>
        </w:rPr>
        <w:fldChar w:fldCharType="separate"/>
      </w:r>
      <w:r>
        <w:rPr>
          <w:rFonts w:ascii="仿宋" w:hAnsi="仿宋" w:eastAsia="仿宋"/>
          <w:sz w:val="32"/>
          <w:szCs w:val="32"/>
        </w:rPr>
        <w:t>6</w:t>
      </w:r>
      <w:r>
        <w:rPr>
          <w:rFonts w:ascii="仿宋" w:hAnsi="仿宋" w:eastAsia="仿宋"/>
          <w:sz w:val="32"/>
          <w:szCs w:val="32"/>
        </w:rPr>
        <w:fldChar w:fldCharType="end"/>
      </w:r>
      <w:r>
        <w:rPr>
          <w:rFonts w:ascii="仿宋" w:hAnsi="仿宋" w:eastAsia="仿宋"/>
          <w:sz w:val="32"/>
          <w:szCs w:val="32"/>
        </w:rPr>
        <w:fldChar w:fldCharType="end"/>
      </w:r>
    </w:p>
    <w:p>
      <w:pPr>
        <w:pStyle w:val="11"/>
        <w:rPr>
          <w:rFonts w:ascii="仿宋" w:hAnsi="仿宋" w:eastAsia="仿宋"/>
          <w:b w:val="0"/>
          <w:sz w:val="32"/>
          <w:szCs w:val="32"/>
          <w:lang w:val="en-US" w:eastAsia="zh-CN"/>
        </w:rPr>
      </w:pPr>
      <w:r>
        <w:rPr>
          <w:rFonts w:ascii="仿宋" w:hAnsi="仿宋" w:eastAsia="仿宋"/>
          <w:sz w:val="32"/>
          <w:szCs w:val="32"/>
        </w:rPr>
        <w:fldChar w:fldCharType="begin"/>
      </w:r>
      <w:r>
        <w:rPr>
          <w:rStyle w:val="23"/>
          <w:rFonts w:ascii="仿宋" w:hAnsi="仿宋" w:eastAsia="仿宋"/>
          <w:sz w:val="32"/>
          <w:szCs w:val="32"/>
        </w:rPr>
        <w:instrText xml:space="preserve"> </w:instrText>
      </w:r>
      <w:r>
        <w:rPr>
          <w:rFonts w:ascii="仿宋" w:hAnsi="仿宋" w:eastAsia="仿宋"/>
          <w:sz w:val="32"/>
          <w:szCs w:val="32"/>
        </w:rPr>
        <w:instrText xml:space="preserve">HYPERLINK \l "_Toc535574116"</w:instrText>
      </w:r>
      <w:r>
        <w:rPr>
          <w:rStyle w:val="23"/>
          <w:rFonts w:ascii="仿宋" w:hAnsi="仿宋" w:eastAsia="仿宋"/>
          <w:sz w:val="32"/>
          <w:szCs w:val="32"/>
        </w:rPr>
        <w:instrText xml:space="preserve"> </w:instrText>
      </w:r>
      <w:r>
        <w:rPr>
          <w:rFonts w:ascii="仿宋" w:hAnsi="仿宋" w:eastAsia="仿宋"/>
          <w:sz w:val="32"/>
          <w:szCs w:val="32"/>
        </w:rPr>
        <w:fldChar w:fldCharType="separate"/>
      </w:r>
      <w:r>
        <w:rPr>
          <w:rStyle w:val="23"/>
          <w:rFonts w:ascii="仿宋" w:hAnsi="仿宋" w:eastAsia="仿宋"/>
          <w:sz w:val="32"/>
          <w:szCs w:val="32"/>
        </w:rPr>
        <w:t>1.4</w:t>
      </w:r>
      <w:r>
        <w:rPr>
          <w:rStyle w:val="23"/>
          <w:rFonts w:hint="eastAsia" w:ascii="仿宋" w:hAnsi="仿宋" w:eastAsia="仿宋"/>
          <w:sz w:val="32"/>
          <w:szCs w:val="32"/>
        </w:rPr>
        <w:t>缴费管理</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_Toc535574116 \h </w:instrText>
      </w:r>
      <w:r>
        <w:rPr>
          <w:rFonts w:ascii="仿宋" w:hAnsi="仿宋" w:eastAsia="仿宋"/>
          <w:sz w:val="32"/>
          <w:szCs w:val="32"/>
        </w:rPr>
        <w:fldChar w:fldCharType="separate"/>
      </w:r>
      <w:r>
        <w:rPr>
          <w:rFonts w:ascii="仿宋" w:hAnsi="仿宋" w:eastAsia="仿宋"/>
          <w:sz w:val="32"/>
          <w:szCs w:val="32"/>
        </w:rPr>
        <w:t>9</w:t>
      </w:r>
      <w:r>
        <w:rPr>
          <w:rFonts w:ascii="仿宋" w:hAnsi="仿宋" w:eastAsia="仿宋"/>
          <w:sz w:val="32"/>
          <w:szCs w:val="32"/>
        </w:rPr>
        <w:fldChar w:fldCharType="end"/>
      </w:r>
      <w:r>
        <w:rPr>
          <w:rFonts w:ascii="仿宋" w:hAnsi="仿宋" w:eastAsia="仿宋"/>
          <w:sz w:val="32"/>
          <w:szCs w:val="32"/>
        </w:rPr>
        <w:fldChar w:fldCharType="end"/>
      </w:r>
    </w:p>
    <w:p>
      <w:pPr>
        <w:pStyle w:val="11"/>
        <w:rPr>
          <w:rFonts w:ascii="仿宋" w:hAnsi="仿宋" w:eastAsia="仿宋"/>
          <w:b w:val="0"/>
          <w:sz w:val="32"/>
          <w:szCs w:val="32"/>
          <w:lang w:val="en-US" w:eastAsia="zh-CN"/>
        </w:rPr>
      </w:pPr>
      <w:r>
        <w:rPr>
          <w:rFonts w:ascii="仿宋" w:hAnsi="仿宋" w:eastAsia="仿宋"/>
          <w:sz w:val="32"/>
          <w:szCs w:val="32"/>
        </w:rPr>
        <w:fldChar w:fldCharType="begin"/>
      </w:r>
      <w:r>
        <w:rPr>
          <w:rStyle w:val="23"/>
          <w:rFonts w:ascii="仿宋" w:hAnsi="仿宋" w:eastAsia="仿宋"/>
          <w:sz w:val="32"/>
          <w:szCs w:val="32"/>
        </w:rPr>
        <w:instrText xml:space="preserve"> </w:instrText>
      </w:r>
      <w:r>
        <w:rPr>
          <w:rFonts w:ascii="仿宋" w:hAnsi="仿宋" w:eastAsia="仿宋"/>
          <w:sz w:val="32"/>
          <w:szCs w:val="32"/>
        </w:rPr>
        <w:instrText xml:space="preserve">HYPERLINK \l "_Toc535574117"</w:instrText>
      </w:r>
      <w:r>
        <w:rPr>
          <w:rStyle w:val="23"/>
          <w:rFonts w:ascii="仿宋" w:hAnsi="仿宋" w:eastAsia="仿宋"/>
          <w:sz w:val="32"/>
          <w:szCs w:val="32"/>
        </w:rPr>
        <w:instrText xml:space="preserve"> </w:instrText>
      </w:r>
      <w:r>
        <w:rPr>
          <w:rFonts w:ascii="仿宋" w:hAnsi="仿宋" w:eastAsia="仿宋"/>
          <w:sz w:val="32"/>
          <w:szCs w:val="32"/>
        </w:rPr>
        <w:fldChar w:fldCharType="separate"/>
      </w:r>
      <w:r>
        <w:rPr>
          <w:rStyle w:val="23"/>
          <w:rFonts w:ascii="仿宋" w:hAnsi="仿宋" w:eastAsia="仿宋"/>
          <w:sz w:val="32"/>
          <w:szCs w:val="32"/>
        </w:rPr>
        <w:t>1.5</w:t>
      </w:r>
      <w:r>
        <w:rPr>
          <w:rStyle w:val="23"/>
          <w:rFonts w:hint="eastAsia" w:ascii="仿宋" w:hAnsi="仿宋" w:eastAsia="仿宋"/>
          <w:sz w:val="32"/>
          <w:szCs w:val="32"/>
        </w:rPr>
        <w:t>免考管理</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_Toc535574117 \h </w:instrText>
      </w:r>
      <w:r>
        <w:rPr>
          <w:rFonts w:ascii="仿宋" w:hAnsi="仿宋" w:eastAsia="仿宋"/>
          <w:sz w:val="32"/>
          <w:szCs w:val="32"/>
        </w:rPr>
        <w:fldChar w:fldCharType="separate"/>
      </w:r>
      <w:r>
        <w:rPr>
          <w:rFonts w:ascii="仿宋" w:hAnsi="仿宋" w:eastAsia="仿宋"/>
          <w:sz w:val="32"/>
          <w:szCs w:val="32"/>
        </w:rPr>
        <w:t>10</w:t>
      </w:r>
      <w:r>
        <w:rPr>
          <w:rFonts w:ascii="仿宋" w:hAnsi="仿宋" w:eastAsia="仿宋"/>
          <w:sz w:val="32"/>
          <w:szCs w:val="32"/>
        </w:rPr>
        <w:fldChar w:fldCharType="end"/>
      </w:r>
      <w:r>
        <w:rPr>
          <w:rFonts w:ascii="仿宋" w:hAnsi="仿宋" w:eastAsia="仿宋"/>
          <w:sz w:val="32"/>
          <w:szCs w:val="32"/>
        </w:rPr>
        <w:fldChar w:fldCharType="end"/>
      </w:r>
    </w:p>
    <w:p>
      <w:pPr>
        <w:pStyle w:val="11"/>
        <w:rPr>
          <w:rFonts w:ascii="仿宋" w:hAnsi="仿宋" w:eastAsia="仿宋"/>
          <w:b w:val="0"/>
          <w:sz w:val="32"/>
          <w:szCs w:val="32"/>
          <w:lang w:val="en-US" w:eastAsia="zh-CN"/>
        </w:rPr>
      </w:pPr>
      <w:r>
        <w:rPr>
          <w:rFonts w:ascii="仿宋" w:hAnsi="仿宋" w:eastAsia="仿宋"/>
          <w:sz w:val="32"/>
          <w:szCs w:val="32"/>
        </w:rPr>
        <w:fldChar w:fldCharType="begin"/>
      </w:r>
      <w:r>
        <w:rPr>
          <w:rStyle w:val="23"/>
          <w:rFonts w:ascii="仿宋" w:hAnsi="仿宋" w:eastAsia="仿宋"/>
          <w:sz w:val="32"/>
          <w:szCs w:val="32"/>
        </w:rPr>
        <w:instrText xml:space="preserve"> </w:instrText>
      </w:r>
      <w:r>
        <w:rPr>
          <w:rFonts w:ascii="仿宋" w:hAnsi="仿宋" w:eastAsia="仿宋"/>
          <w:sz w:val="32"/>
          <w:szCs w:val="32"/>
        </w:rPr>
        <w:instrText xml:space="preserve">HYPERLINK \l "_Toc535574118"</w:instrText>
      </w:r>
      <w:r>
        <w:rPr>
          <w:rStyle w:val="23"/>
          <w:rFonts w:ascii="仿宋" w:hAnsi="仿宋" w:eastAsia="仿宋"/>
          <w:sz w:val="32"/>
          <w:szCs w:val="32"/>
        </w:rPr>
        <w:instrText xml:space="preserve"> </w:instrText>
      </w:r>
      <w:r>
        <w:rPr>
          <w:rFonts w:ascii="仿宋" w:hAnsi="仿宋" w:eastAsia="仿宋"/>
          <w:sz w:val="32"/>
          <w:szCs w:val="32"/>
        </w:rPr>
        <w:fldChar w:fldCharType="separate"/>
      </w:r>
      <w:r>
        <w:rPr>
          <w:rStyle w:val="23"/>
          <w:rFonts w:ascii="仿宋" w:hAnsi="仿宋" w:eastAsia="仿宋"/>
          <w:sz w:val="32"/>
          <w:szCs w:val="32"/>
        </w:rPr>
        <w:t>1.6</w:t>
      </w:r>
      <w:r>
        <w:rPr>
          <w:rStyle w:val="23"/>
          <w:rFonts w:hint="eastAsia" w:ascii="仿宋" w:hAnsi="仿宋" w:eastAsia="仿宋"/>
          <w:sz w:val="32"/>
          <w:szCs w:val="32"/>
        </w:rPr>
        <w:t>成绩管理</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_Toc535574118 \h </w:instrText>
      </w:r>
      <w:r>
        <w:rPr>
          <w:rFonts w:ascii="仿宋" w:hAnsi="仿宋" w:eastAsia="仿宋"/>
          <w:sz w:val="32"/>
          <w:szCs w:val="32"/>
        </w:rPr>
        <w:fldChar w:fldCharType="separate"/>
      </w:r>
      <w:r>
        <w:rPr>
          <w:rFonts w:ascii="仿宋" w:hAnsi="仿宋" w:eastAsia="仿宋"/>
          <w:sz w:val="32"/>
          <w:szCs w:val="32"/>
        </w:rPr>
        <w:t>10</w:t>
      </w:r>
      <w:r>
        <w:rPr>
          <w:rFonts w:ascii="仿宋" w:hAnsi="仿宋" w:eastAsia="仿宋"/>
          <w:sz w:val="32"/>
          <w:szCs w:val="32"/>
        </w:rPr>
        <w:fldChar w:fldCharType="end"/>
      </w:r>
      <w:r>
        <w:rPr>
          <w:rFonts w:ascii="仿宋" w:hAnsi="仿宋" w:eastAsia="仿宋"/>
          <w:sz w:val="32"/>
          <w:szCs w:val="32"/>
        </w:rPr>
        <w:fldChar w:fldCharType="end"/>
      </w:r>
    </w:p>
    <w:p>
      <w:pPr>
        <w:pStyle w:val="11"/>
        <w:rPr>
          <w:rFonts w:ascii="仿宋" w:hAnsi="仿宋" w:eastAsia="仿宋"/>
          <w:b w:val="0"/>
          <w:sz w:val="32"/>
          <w:szCs w:val="32"/>
          <w:lang w:val="en-US" w:eastAsia="zh-CN"/>
        </w:rPr>
      </w:pPr>
      <w:r>
        <w:rPr>
          <w:rFonts w:ascii="仿宋" w:hAnsi="仿宋" w:eastAsia="仿宋"/>
          <w:sz w:val="32"/>
          <w:szCs w:val="32"/>
        </w:rPr>
        <w:fldChar w:fldCharType="begin"/>
      </w:r>
      <w:r>
        <w:rPr>
          <w:rStyle w:val="23"/>
          <w:rFonts w:ascii="仿宋" w:hAnsi="仿宋" w:eastAsia="仿宋"/>
          <w:sz w:val="32"/>
          <w:szCs w:val="32"/>
        </w:rPr>
        <w:instrText xml:space="preserve"> </w:instrText>
      </w:r>
      <w:r>
        <w:rPr>
          <w:rFonts w:ascii="仿宋" w:hAnsi="仿宋" w:eastAsia="仿宋"/>
          <w:sz w:val="32"/>
          <w:szCs w:val="32"/>
        </w:rPr>
        <w:instrText xml:space="preserve">HYPERLINK \l "_Toc535574119"</w:instrText>
      </w:r>
      <w:r>
        <w:rPr>
          <w:rStyle w:val="23"/>
          <w:rFonts w:ascii="仿宋" w:hAnsi="仿宋" w:eastAsia="仿宋"/>
          <w:sz w:val="32"/>
          <w:szCs w:val="32"/>
        </w:rPr>
        <w:instrText xml:space="preserve"> </w:instrText>
      </w:r>
      <w:r>
        <w:rPr>
          <w:rFonts w:ascii="仿宋" w:hAnsi="仿宋" w:eastAsia="仿宋"/>
          <w:sz w:val="32"/>
          <w:szCs w:val="32"/>
        </w:rPr>
        <w:fldChar w:fldCharType="separate"/>
      </w:r>
      <w:r>
        <w:rPr>
          <w:rStyle w:val="23"/>
          <w:rFonts w:ascii="仿宋" w:hAnsi="仿宋" w:eastAsia="仿宋"/>
          <w:sz w:val="32"/>
          <w:szCs w:val="32"/>
        </w:rPr>
        <w:t>1.7</w:t>
      </w:r>
      <w:r>
        <w:rPr>
          <w:rStyle w:val="23"/>
          <w:rFonts w:hint="eastAsia" w:ascii="仿宋" w:hAnsi="仿宋" w:eastAsia="仿宋"/>
          <w:sz w:val="32"/>
          <w:szCs w:val="32"/>
        </w:rPr>
        <w:t>注册信息管理</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_Toc535574119 \h </w:instrText>
      </w:r>
      <w:r>
        <w:rPr>
          <w:rFonts w:ascii="仿宋" w:hAnsi="仿宋" w:eastAsia="仿宋"/>
          <w:sz w:val="32"/>
          <w:szCs w:val="32"/>
        </w:rPr>
        <w:fldChar w:fldCharType="separate"/>
      </w:r>
      <w:r>
        <w:rPr>
          <w:rFonts w:ascii="仿宋" w:hAnsi="仿宋" w:eastAsia="仿宋"/>
          <w:sz w:val="32"/>
          <w:szCs w:val="32"/>
        </w:rPr>
        <w:t>11</w:t>
      </w:r>
      <w:r>
        <w:rPr>
          <w:rFonts w:ascii="仿宋" w:hAnsi="仿宋" w:eastAsia="仿宋"/>
          <w:sz w:val="32"/>
          <w:szCs w:val="32"/>
        </w:rPr>
        <w:fldChar w:fldCharType="end"/>
      </w:r>
      <w:r>
        <w:rPr>
          <w:rFonts w:ascii="仿宋" w:hAnsi="仿宋" w:eastAsia="仿宋"/>
          <w:sz w:val="32"/>
          <w:szCs w:val="32"/>
        </w:rPr>
        <w:fldChar w:fldCharType="end"/>
      </w:r>
    </w:p>
    <w:p>
      <w:pPr>
        <w:pStyle w:val="17"/>
        <w:rPr>
          <w:rFonts w:ascii="仿宋" w:hAnsi="仿宋" w:eastAsia="仿宋"/>
          <w:b w:val="0"/>
        </w:rPr>
      </w:pPr>
      <w:r>
        <w:rPr>
          <w:rFonts w:ascii="仿宋" w:hAnsi="仿宋" w:eastAsia="仿宋"/>
        </w:rPr>
        <w:fldChar w:fldCharType="begin"/>
      </w:r>
      <w:r>
        <w:rPr>
          <w:rStyle w:val="23"/>
          <w:rFonts w:ascii="仿宋" w:hAnsi="仿宋" w:eastAsia="仿宋"/>
        </w:rPr>
        <w:instrText xml:space="preserve"> </w:instrText>
      </w:r>
      <w:r>
        <w:rPr>
          <w:rFonts w:ascii="仿宋" w:hAnsi="仿宋" w:eastAsia="仿宋"/>
        </w:rPr>
        <w:instrText xml:space="preserve">HYPERLINK \l "_Toc535574120"</w:instrText>
      </w:r>
      <w:r>
        <w:rPr>
          <w:rStyle w:val="23"/>
          <w:rFonts w:ascii="仿宋" w:hAnsi="仿宋" w:eastAsia="仿宋"/>
        </w:rPr>
        <w:instrText xml:space="preserve"> </w:instrText>
      </w:r>
      <w:r>
        <w:rPr>
          <w:rFonts w:ascii="仿宋" w:hAnsi="仿宋" w:eastAsia="仿宋"/>
        </w:rPr>
        <w:fldChar w:fldCharType="separate"/>
      </w:r>
      <w:r>
        <w:rPr>
          <w:rStyle w:val="23"/>
          <w:rFonts w:hint="eastAsia" w:ascii="仿宋" w:hAnsi="仿宋" w:eastAsia="仿宋"/>
        </w:rPr>
        <w:t>二、常见问题解答（</w:t>
      </w:r>
      <w:r>
        <w:rPr>
          <w:rStyle w:val="23"/>
          <w:rFonts w:ascii="仿宋" w:hAnsi="仿宋" w:eastAsia="仿宋"/>
        </w:rPr>
        <w:t>QA</w:t>
      </w:r>
      <w:r>
        <w:rPr>
          <w:rStyle w:val="23"/>
          <w:rFonts w:hint="eastAsia" w:ascii="仿宋" w:hAnsi="仿宋" w:eastAsia="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_Toc535574120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17"/>
        <w:rPr>
          <w:rFonts w:ascii="仿宋" w:hAnsi="仿宋" w:eastAsia="仿宋"/>
          <w:b w:val="0"/>
        </w:rPr>
      </w:pPr>
      <w:r>
        <w:rPr>
          <w:rFonts w:ascii="仿宋" w:hAnsi="仿宋" w:eastAsia="仿宋"/>
        </w:rPr>
        <w:fldChar w:fldCharType="begin"/>
      </w:r>
      <w:r>
        <w:rPr>
          <w:rStyle w:val="23"/>
          <w:rFonts w:ascii="仿宋" w:hAnsi="仿宋" w:eastAsia="仿宋"/>
        </w:rPr>
        <w:instrText xml:space="preserve"> </w:instrText>
      </w:r>
      <w:r>
        <w:rPr>
          <w:rFonts w:ascii="仿宋" w:hAnsi="仿宋" w:eastAsia="仿宋"/>
        </w:rPr>
        <w:instrText xml:space="preserve">HYPERLINK \l "_Toc535574121"</w:instrText>
      </w:r>
      <w:r>
        <w:rPr>
          <w:rStyle w:val="23"/>
          <w:rFonts w:ascii="仿宋" w:hAnsi="仿宋" w:eastAsia="仿宋"/>
        </w:rPr>
        <w:instrText xml:space="preserve"> </w:instrText>
      </w:r>
      <w:r>
        <w:rPr>
          <w:rFonts w:ascii="仿宋" w:hAnsi="仿宋" w:eastAsia="仿宋"/>
        </w:rPr>
        <w:fldChar w:fldCharType="separate"/>
      </w:r>
      <w:r>
        <w:rPr>
          <w:rStyle w:val="23"/>
          <w:rFonts w:hint="eastAsia" w:ascii="仿宋" w:hAnsi="仿宋" w:eastAsia="仿宋"/>
        </w:rPr>
        <w:t>附录：安全用卡指南</w:t>
      </w:r>
      <w:r>
        <w:rPr>
          <w:rFonts w:ascii="仿宋" w:hAnsi="仿宋" w:eastAsia="仿宋"/>
        </w:rPr>
        <w:tab/>
      </w:r>
      <w:r>
        <w:rPr>
          <w:rFonts w:ascii="仿宋" w:hAnsi="仿宋" w:eastAsia="仿宋"/>
        </w:rPr>
        <w:fldChar w:fldCharType="begin"/>
      </w:r>
      <w:r>
        <w:rPr>
          <w:rFonts w:ascii="仿宋" w:hAnsi="仿宋" w:eastAsia="仿宋"/>
        </w:rPr>
        <w:instrText xml:space="preserve"> PAGEREF _Toc535574121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17"/>
        <w:spacing w:line="360" w:lineRule="auto"/>
        <w:ind w:left="0" w:leftChars="0"/>
        <w:jc w:val="both"/>
        <w:sectPr>
          <w:headerReference r:id="rId5" w:type="first"/>
          <w:headerReference r:id="rId3" w:type="default"/>
          <w:footerReference r:id="rId6" w:type="default"/>
          <w:headerReference r:id="rId4" w:type="even"/>
          <w:footerReference r:id="rId7" w:type="even"/>
          <w:pgSz w:w="10433" w:h="14742"/>
          <w:pgMar w:top="1021" w:right="1134" w:bottom="680" w:left="1134" w:header="794" w:footer="567" w:gutter="0"/>
          <w:pgNumType w:start="1"/>
          <w:cols w:space="720" w:num="1"/>
          <w:titlePg/>
          <w:docGrid w:type="lines" w:linePitch="312" w:charSpace="0"/>
        </w:sectPr>
      </w:pPr>
      <w:r>
        <w:rPr>
          <w:rFonts w:hint="eastAsia" w:ascii="仿宋" w:hAnsi="仿宋" w:eastAsia="仿宋"/>
        </w:rPr>
        <w:fldChar w:fldCharType="end"/>
      </w:r>
    </w:p>
    <w:p>
      <w:pPr>
        <w:pStyle w:val="3"/>
        <w:spacing w:line="360" w:lineRule="auto"/>
        <w:jc w:val="center"/>
        <w:rPr>
          <w:rFonts w:hint="eastAsia" w:ascii="仿宋_GB2312" w:hAnsi="宋体" w:eastAsia="仿宋_GB2312"/>
        </w:rPr>
      </w:pPr>
      <w:bookmarkStart w:id="13" w:name="_Toc535574111"/>
      <w:r>
        <w:rPr>
          <w:rFonts w:hint="eastAsia" w:ascii="仿宋_GB2312" w:hAnsi="宋体" w:eastAsia="仿宋_GB2312"/>
        </w:rPr>
        <w:t>前  言</w:t>
      </w:r>
      <w:bookmarkEnd w:id="0"/>
      <w:bookmarkEnd w:id="1"/>
      <w:bookmarkEnd w:id="2"/>
      <w:bookmarkEnd w:id="3"/>
      <w:bookmarkEnd w:id="4"/>
      <w:bookmarkEnd w:id="5"/>
      <w:bookmarkEnd w:id="6"/>
      <w:bookmarkEnd w:id="7"/>
      <w:bookmarkEnd w:id="8"/>
      <w:bookmarkEnd w:id="9"/>
      <w:bookmarkEnd w:id="10"/>
      <w:bookmarkEnd w:id="11"/>
      <w:bookmarkEnd w:id="13"/>
    </w:p>
    <w:p>
      <w:pPr>
        <w:spacing w:line="360" w:lineRule="auto"/>
        <w:ind w:firstLine="420" w:firstLineChars="200"/>
        <w:rPr>
          <w:rFonts w:hint="eastAsia" w:ascii="宋体" w:hAnsi="宋体"/>
          <w:szCs w:val="21"/>
        </w:rPr>
      </w:pPr>
      <w:r>
        <w:rPr>
          <w:rFonts w:hint="eastAsia" w:ascii="宋体" w:hAnsi="宋体"/>
          <w:szCs w:val="21"/>
        </w:rPr>
        <w:t>自1999年在高校开展现代远程教育试点工作以来，我国网络教育呈蓬勃发展的趋势，试点规模不断扩大，发展顺利，取得了可喜的经验和成果。但在发展中也存在着一些问题，为进一步加强网络教育的规范管理，提高网络教育的社会声誉，确保网络教育人才培养的质量，促进网络教育健康、有序地发展。经教育部研究，并依据教育部和网考委的相关文件：（1）《教育部办公厅关于对现代远程教育试点高校网络教育学生部分公共课实行全国统一考试的通知》（教高厅</w:t>
      </w:r>
      <w:r>
        <w:rPr>
          <w:rFonts w:ascii="宋体" w:hAnsi="宋体"/>
          <w:szCs w:val="21"/>
        </w:rPr>
        <w:t>[2004]2号）</w:t>
      </w:r>
      <w:r>
        <w:rPr>
          <w:rFonts w:hint="eastAsia" w:ascii="宋体" w:hAnsi="宋体"/>
          <w:szCs w:val="21"/>
        </w:rPr>
        <w:t>；（2）</w:t>
      </w:r>
      <w:r>
        <w:rPr>
          <w:rFonts w:ascii="宋体" w:hAnsi="宋体"/>
          <w:szCs w:val="21"/>
        </w:rPr>
        <w:t>《教育部关于开展现代远程教育试点高校网络教育部分公共课全国统一考试试点工作的实施意见》（教高[2004]5号）</w:t>
      </w:r>
      <w:r>
        <w:rPr>
          <w:rFonts w:hint="eastAsia" w:ascii="宋体" w:hAnsi="宋体"/>
          <w:szCs w:val="21"/>
        </w:rPr>
        <w:t>；</w:t>
      </w:r>
      <w:r>
        <w:rPr>
          <w:rFonts w:hint="eastAsia" w:ascii="宋体" w:hAnsi="宋体"/>
          <w:bCs/>
          <w:szCs w:val="21"/>
        </w:rPr>
        <w:t>（3）《教育部关于做好现代远程教育试点高校网络教育部分公共基础课全国统一考试工作的通知》（教高函[2006]17号）；</w:t>
      </w:r>
      <w:r>
        <w:rPr>
          <w:rFonts w:hint="eastAsia" w:ascii="宋体" w:hAnsi="宋体"/>
          <w:szCs w:val="21"/>
        </w:rPr>
        <w:t>（4）</w:t>
      </w:r>
      <w:r>
        <w:rPr>
          <w:rFonts w:ascii="宋体" w:hAnsi="宋体"/>
          <w:szCs w:val="21"/>
        </w:rPr>
        <w:t>《试点高校网络教育部分公共基础课统一考试试点工作管理办法（试行）》（网考委[2005]1号）</w:t>
      </w:r>
      <w:r>
        <w:rPr>
          <w:rFonts w:hint="eastAsia" w:ascii="宋体" w:hAnsi="宋体"/>
          <w:szCs w:val="21"/>
        </w:rPr>
        <w:t>；（5）《试点高校网络教育部分公共基础课统一考试考试大纲》（网考委[2005]2号），决定对试点高校网络教育学生实行统考。</w:t>
      </w:r>
    </w:p>
    <w:p>
      <w:pPr>
        <w:spacing w:line="360" w:lineRule="auto"/>
        <w:ind w:firstLine="420" w:firstLineChars="200"/>
        <w:rPr>
          <w:rFonts w:hint="eastAsia" w:ascii="宋体" w:hAnsi="宋体"/>
          <w:szCs w:val="21"/>
        </w:rPr>
      </w:pPr>
      <w:r>
        <w:rPr>
          <w:rFonts w:hint="eastAsia" w:ascii="宋体" w:hAnsi="宋体"/>
          <w:szCs w:val="21"/>
        </w:rPr>
        <w:t>统考是指教育部对现代远程教育试点高校（以下简称“试点高校”）网络教育部分公共基础课实施的全国统一考试，即对我国网络高等学历教育部分公共基础课的全国统一考试。统考试点工作按照网络教育应用型人才的培养目标，针对从业人员继续教育的特点，重在检验学生掌握基础知识的水平及应用能力。</w:t>
      </w:r>
    </w:p>
    <w:p>
      <w:pPr>
        <w:spacing w:line="360" w:lineRule="auto"/>
        <w:ind w:firstLine="420" w:firstLineChars="200"/>
        <w:rPr>
          <w:rFonts w:ascii="宋体" w:hAnsi="宋体"/>
          <w:szCs w:val="21"/>
        </w:rPr>
      </w:pPr>
      <w:r>
        <w:rPr>
          <w:rFonts w:ascii="宋体" w:hAnsi="宋体"/>
          <w:szCs w:val="21"/>
        </w:rPr>
        <w:t>试点高校网络教育统考</w:t>
      </w:r>
      <w:r>
        <w:rPr>
          <w:rFonts w:hint="eastAsia" w:ascii="宋体" w:hAnsi="宋体"/>
          <w:szCs w:val="21"/>
        </w:rPr>
        <w:t>主要针对教育部批准的试点高校和中央电大“人才培养模式改革和开放教育试点”项目中自</w:t>
      </w:r>
      <w:r>
        <w:rPr>
          <w:rFonts w:ascii="宋体" w:hAnsi="宋体"/>
          <w:szCs w:val="21"/>
        </w:rPr>
        <w:t>2004年3月1日以后入学的本科层次网络学历教育的学生（含高中起点本科、专科起点本科）。</w:t>
      </w:r>
      <w:r>
        <w:rPr>
          <w:rFonts w:hint="eastAsia" w:ascii="宋体" w:hAnsi="宋体"/>
          <w:szCs w:val="21"/>
        </w:rPr>
        <w:t>统考科目按不同学历起点和专业类别确定，包括</w:t>
      </w:r>
      <w:r>
        <w:rPr>
          <w:rFonts w:ascii="宋体" w:hAnsi="宋体"/>
          <w:szCs w:val="21"/>
        </w:rPr>
        <w:t>《大学英语》、《计算机应用基础》、《大学语文》</w:t>
      </w:r>
      <w:r>
        <w:rPr>
          <w:rFonts w:hint="eastAsia" w:ascii="宋体" w:hAnsi="宋体"/>
          <w:szCs w:val="21"/>
        </w:rPr>
        <w:t>和</w:t>
      </w:r>
      <w:r>
        <w:rPr>
          <w:rFonts w:ascii="宋体" w:hAnsi="宋体"/>
          <w:szCs w:val="21"/>
        </w:rPr>
        <w:t>《高等数学》</w:t>
      </w:r>
      <w:r>
        <w:rPr>
          <w:rFonts w:hint="eastAsia" w:ascii="宋体" w:hAnsi="宋体"/>
          <w:szCs w:val="21"/>
        </w:rPr>
        <w:t>四门课程。各统考科目的考试范围以网考委颁发的《试点高校网络教育部分公共基础课统一考试考试大纲》为依据。命题将结合现代远程教育和培养目标的特点，体现应用型人才培养要求，既要考核学生对基本理论、基本知识和基本技能的掌握，也要考核学生应用知识、分析问题和解决问题的能力。</w:t>
      </w:r>
    </w:p>
    <w:p>
      <w:pPr>
        <w:spacing w:line="360" w:lineRule="auto"/>
        <w:ind w:firstLine="405" w:firstLineChars="192"/>
        <w:rPr>
          <w:rFonts w:hint="eastAsia" w:ascii="宋体" w:hAnsi="宋体"/>
          <w:b/>
          <w:bCs/>
          <w:szCs w:val="21"/>
        </w:rPr>
      </w:pPr>
      <w:bookmarkStart w:id="14" w:name="_Toc154455731"/>
      <w:bookmarkStart w:id="15" w:name="_Toc154374288"/>
      <w:bookmarkStart w:id="16" w:name="_Toc154455687"/>
      <w:bookmarkStart w:id="17" w:name="_Toc154408190"/>
      <w:r>
        <w:rPr>
          <w:rFonts w:hint="eastAsia" w:ascii="宋体" w:hAnsi="宋体"/>
          <w:b/>
          <w:bCs/>
          <w:szCs w:val="21"/>
        </w:rPr>
        <w:t xml:space="preserve"> </w:t>
      </w:r>
    </w:p>
    <w:p>
      <w:pPr>
        <w:spacing w:line="360" w:lineRule="auto"/>
        <w:rPr>
          <w:rFonts w:ascii="宋体" w:hAnsi="宋体"/>
          <w:b/>
          <w:bCs/>
          <w:szCs w:val="21"/>
        </w:rPr>
      </w:pPr>
      <w:r>
        <w:rPr>
          <w:rFonts w:hint="eastAsia" w:ascii="宋体" w:hAnsi="宋体"/>
          <w:b/>
          <w:bCs/>
          <w:szCs w:val="21"/>
        </w:rPr>
        <w:t>报名网站（网址）：中国现代远程与继续教育网（</w:t>
      </w:r>
      <w:r>
        <w:rPr>
          <w:rFonts w:ascii="宋体" w:hAnsi="宋体"/>
          <w:b/>
          <w:bCs/>
          <w:szCs w:val="21"/>
        </w:rPr>
        <w:fldChar w:fldCharType="begin"/>
      </w:r>
      <w:r>
        <w:rPr>
          <w:rFonts w:ascii="宋体" w:hAnsi="宋体"/>
          <w:b/>
          <w:bCs/>
          <w:szCs w:val="21"/>
        </w:rPr>
        <w:instrText xml:space="preserve"> HYPERLINK "</w:instrText>
      </w:r>
      <w:r>
        <w:rPr>
          <w:rFonts w:hint="eastAsia" w:ascii="宋体" w:hAnsi="宋体"/>
          <w:b/>
          <w:bCs/>
          <w:szCs w:val="21"/>
        </w:rPr>
        <w:instrText xml:space="preserve">http://www.cdce.cn</w:instrText>
      </w:r>
      <w:r>
        <w:rPr>
          <w:rFonts w:ascii="宋体" w:hAnsi="宋体"/>
          <w:b/>
          <w:bCs/>
          <w:szCs w:val="21"/>
        </w:rPr>
        <w:instrText xml:space="preserve">" </w:instrText>
      </w:r>
      <w:r>
        <w:rPr>
          <w:rFonts w:ascii="宋体" w:hAnsi="宋体"/>
          <w:b/>
          <w:bCs/>
          <w:szCs w:val="21"/>
        </w:rPr>
        <w:fldChar w:fldCharType="separate"/>
      </w:r>
      <w:r>
        <w:rPr>
          <w:rFonts w:hint="eastAsia" w:ascii="宋体" w:hAnsi="宋体"/>
          <w:b/>
          <w:bCs/>
          <w:szCs w:val="21"/>
        </w:rPr>
        <w:t>http://www.cdce.cn</w:t>
      </w:r>
      <w:r>
        <w:rPr>
          <w:rFonts w:ascii="宋体" w:hAnsi="宋体"/>
          <w:b/>
          <w:bCs/>
          <w:szCs w:val="21"/>
        </w:rPr>
        <w:fldChar w:fldCharType="end"/>
      </w:r>
      <w:r>
        <w:rPr>
          <w:rFonts w:hint="eastAsia" w:ascii="宋体" w:hAnsi="宋体"/>
          <w:b/>
          <w:bCs/>
          <w:szCs w:val="21"/>
        </w:rPr>
        <w:t>）</w:t>
      </w:r>
    </w:p>
    <w:p>
      <w:pPr>
        <w:pStyle w:val="3"/>
        <w:spacing w:line="360" w:lineRule="auto"/>
        <w:rPr>
          <w:rFonts w:hint="eastAsia" w:ascii="宋体" w:hAnsi="宋体" w:eastAsia="宋体"/>
          <w:sz w:val="21"/>
          <w:szCs w:val="21"/>
        </w:rPr>
      </w:pPr>
      <w:r>
        <w:rPr>
          <w:rFonts w:ascii="宋体" w:hAnsi="宋体" w:eastAsia="宋体"/>
          <w:sz w:val="21"/>
          <w:szCs w:val="21"/>
        </w:rPr>
        <w:br w:type="page"/>
      </w:r>
      <w:bookmarkStart w:id="18" w:name="_Toc187142464"/>
      <w:bookmarkStart w:id="19" w:name="_Toc155006816"/>
      <w:bookmarkStart w:id="20" w:name="_Toc154477100"/>
      <w:bookmarkStart w:id="21" w:name="_Toc155006178"/>
      <w:bookmarkStart w:id="22" w:name="_Toc154657565"/>
      <w:bookmarkStart w:id="23" w:name="_Toc154562093"/>
      <w:bookmarkStart w:id="24" w:name="_Toc187142518"/>
      <w:bookmarkStart w:id="25" w:name="_Toc155090934"/>
      <w:bookmarkStart w:id="26" w:name="_Toc535574112"/>
      <w:bookmarkStart w:id="27" w:name="_Toc187142138"/>
      <w:bookmarkStart w:id="28" w:name="_Toc187142718"/>
      <w:bookmarkStart w:id="29" w:name="_Toc155007917"/>
      <w:r>
        <w:rPr>
          <w:rFonts w:hint="eastAsia" w:ascii="宋体" w:hAnsi="宋体" w:eastAsia="宋体"/>
          <w:sz w:val="21"/>
          <w:szCs w:val="21"/>
        </w:rPr>
        <w:t>一、 统考信息管理系统</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10"/>
        <w:spacing w:line="360" w:lineRule="auto"/>
        <w:ind w:firstLine="422"/>
        <w:rPr>
          <w:rFonts w:hint="eastAsia"/>
          <w:b/>
          <w:bCs/>
          <w:color w:val="auto"/>
        </w:rPr>
      </w:pPr>
      <w:r>
        <w:rPr>
          <w:rFonts w:hint="eastAsia"/>
          <w:b/>
          <w:bCs/>
          <w:color w:val="auto"/>
        </w:rPr>
        <w:t>统考信息管理系统，是提供给试点高校考生进行统考考试相关信息的操作平台。学习中心可以通过“中国现代远程与继续教育网”进入统考信息管理系统。</w:t>
      </w:r>
    </w:p>
    <w:p>
      <w:pPr>
        <w:spacing w:before="156" w:beforeLines="50" w:after="156" w:afterLines="50" w:line="360" w:lineRule="auto"/>
        <w:ind w:firstLine="420" w:firstLineChars="200"/>
        <w:rPr>
          <w:rFonts w:hint="eastAsia" w:ascii="宋体" w:hAnsi="宋体"/>
          <w:szCs w:val="21"/>
        </w:rPr>
      </w:pPr>
      <w:r>
        <w:rPr>
          <w:rFonts w:ascii="宋体" w:hAnsi="宋体"/>
          <w:bCs/>
          <w:szCs w:val="21"/>
        </w:rPr>
        <w:t>“</w:t>
      </w:r>
      <w:r>
        <w:rPr>
          <w:rFonts w:hint="eastAsia" w:ascii="宋体" w:hAnsi="宋体"/>
          <w:szCs w:val="21"/>
        </w:rPr>
        <w:t>统考信息管理系统</w:t>
      </w:r>
      <w:r>
        <w:rPr>
          <w:rFonts w:ascii="宋体" w:hAnsi="宋体"/>
          <w:bCs/>
          <w:szCs w:val="21"/>
        </w:rPr>
        <w:t>”</w:t>
      </w:r>
      <w:r>
        <w:rPr>
          <w:rFonts w:hint="eastAsia" w:ascii="宋体" w:hAnsi="宋体"/>
          <w:szCs w:val="21"/>
        </w:rPr>
        <w:t>为学习中心提供考生基本信息查看、考生照片查看、学习中心修改、报考信息查看、报考成功导出、准考证下载、报考信息统计、缴费信息查看、缴费信息统计、免考信息查看、查看考试成绩等功能。</w:t>
      </w:r>
    </w:p>
    <w:p>
      <w:pPr>
        <w:spacing w:before="156" w:beforeLines="50" w:after="156" w:afterLines="50" w:line="360" w:lineRule="auto"/>
        <w:rPr>
          <w:rFonts w:hint="eastAsia" w:ascii="宋体" w:hAnsi="宋体"/>
          <w:szCs w:val="21"/>
        </w:rPr>
      </w:pPr>
      <w:r>
        <w:drawing>
          <wp:inline distT="0" distB="0" distL="114300" distR="114300">
            <wp:extent cx="4838065" cy="358076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838065" cy="3580765"/>
                    </a:xfrm>
                    <a:prstGeom prst="rect">
                      <a:avLst/>
                    </a:prstGeom>
                    <a:noFill/>
                    <a:ln w="9525">
                      <a:noFill/>
                    </a:ln>
                  </pic:spPr>
                </pic:pic>
              </a:graphicData>
            </a:graphic>
          </wp:inline>
        </w:drawing>
      </w:r>
    </w:p>
    <w:p>
      <w:pPr>
        <w:spacing w:before="156" w:beforeLines="50" w:after="156" w:afterLines="50" w:line="360" w:lineRule="auto"/>
        <w:jc w:val="center"/>
        <w:rPr>
          <w:rFonts w:hint="eastAsia" w:ascii="宋体" w:hAnsi="宋体"/>
          <w:szCs w:val="21"/>
        </w:rPr>
      </w:pPr>
      <w:r>
        <w:rPr>
          <w:rFonts w:hint="eastAsia" w:ascii="宋体" w:hAnsi="宋体"/>
          <w:szCs w:val="21"/>
        </w:rPr>
        <w:t>图1　学习中心统考信息管理系统功能图</w:t>
      </w:r>
    </w:p>
    <w:p>
      <w:pPr>
        <w:spacing w:line="360" w:lineRule="auto"/>
        <w:ind w:firstLine="403" w:firstLineChars="192"/>
        <w:rPr>
          <w:rFonts w:hint="eastAsia" w:ascii="宋体" w:hAnsi="宋体"/>
          <w:szCs w:val="21"/>
        </w:rPr>
      </w:pPr>
      <w:r>
        <w:rPr>
          <w:rFonts w:hint="eastAsia" w:ascii="宋体" w:hAnsi="宋体"/>
          <w:szCs w:val="21"/>
        </w:rPr>
        <w:t>首先，学习中心登录时，需从网院或省级电大获取学习中心登录号和登录密码，登录号为八位，即网院代码+三位数字。</w:t>
      </w:r>
    </w:p>
    <w:p>
      <w:pPr>
        <w:spacing w:line="360" w:lineRule="auto"/>
        <w:ind w:firstLine="403" w:firstLineChars="192"/>
        <w:rPr>
          <w:rFonts w:hint="eastAsia" w:ascii="宋体" w:hAnsi="宋体"/>
          <w:szCs w:val="21"/>
        </w:rPr>
      </w:pPr>
    </w:p>
    <w:p>
      <w:pPr>
        <w:pStyle w:val="4"/>
        <w:spacing w:before="0" w:after="100" w:afterAutospacing="1" w:line="360" w:lineRule="auto"/>
        <w:rPr>
          <w:rFonts w:hint="eastAsia" w:ascii="宋体" w:hAnsi="宋体"/>
          <w:sz w:val="21"/>
          <w:szCs w:val="21"/>
        </w:rPr>
      </w:pPr>
      <w:bookmarkStart w:id="30" w:name="_Toc154455688"/>
      <w:bookmarkStart w:id="31" w:name="_Toc154374289"/>
      <w:bookmarkStart w:id="32" w:name="_Toc154455732"/>
      <w:bookmarkStart w:id="33" w:name="_Toc154477101"/>
      <w:bookmarkStart w:id="34" w:name="_Toc154562094"/>
      <w:bookmarkStart w:id="35" w:name="_Toc154657566"/>
      <w:bookmarkStart w:id="36" w:name="_Toc155006179"/>
      <w:bookmarkStart w:id="37" w:name="_Toc155006817"/>
      <w:bookmarkStart w:id="38" w:name="_Toc155007918"/>
      <w:bookmarkStart w:id="39" w:name="_Toc155090935"/>
      <w:bookmarkStart w:id="40" w:name="_Toc187142139"/>
      <w:bookmarkStart w:id="41" w:name="_Toc187142465"/>
      <w:bookmarkStart w:id="42" w:name="_Toc187142519"/>
      <w:bookmarkStart w:id="43" w:name="_Toc187142719"/>
      <w:bookmarkStart w:id="44" w:name="_Toc154408191"/>
      <w:bookmarkStart w:id="45" w:name="_Toc535574113"/>
      <w:r>
        <w:rPr>
          <w:rFonts w:hint="eastAsia" w:ascii="宋体" w:hAnsi="宋体"/>
          <w:sz w:val="21"/>
          <w:szCs w:val="21"/>
        </w:rPr>
        <w:t xml:space="preserve">1.1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ascii="宋体" w:hAnsi="宋体"/>
          <w:sz w:val="21"/>
          <w:szCs w:val="21"/>
        </w:rPr>
        <w:t>考生基本信息查看</w:t>
      </w:r>
      <w:bookmarkEnd w:id="45"/>
    </w:p>
    <w:p>
      <w:pPr>
        <w:spacing w:line="360" w:lineRule="auto"/>
        <w:rPr>
          <w:rFonts w:hint="eastAsia"/>
        </w:rPr>
      </w:pPr>
      <w:r>
        <w:rPr>
          <w:rFonts w:hint="eastAsia"/>
        </w:rPr>
        <w:t xml:space="preserve">    学习中心有责任对网院或省级电大上传的考生基本信息进行核对，如发现考生基本信息错误，需及时通知网院或省级电大进行修改，报名开始后，考生基本信息不能再进行修改。参加考试时，考点如发现考生基本信息有误，将不能参加考试。</w:t>
      </w:r>
    </w:p>
    <w:p>
      <w:pPr>
        <w:spacing w:line="360" w:lineRule="auto"/>
        <w:rPr>
          <w:rFonts w:hint="eastAsia" w:ascii="宋体" w:hAnsi="宋体"/>
          <w:szCs w:val="21"/>
        </w:rPr>
      </w:pPr>
    </w:p>
    <w:p>
      <w:pPr>
        <w:spacing w:line="360" w:lineRule="auto"/>
        <w:rPr>
          <w:rFonts w:hint="eastAsia" w:ascii="宋体" w:hAnsi="宋体"/>
          <w:szCs w:val="21"/>
        </w:rPr>
      </w:pPr>
      <w:r>
        <w:rPr>
          <w:rFonts w:hint="eastAsia" w:ascii="宋体" w:hAnsi="宋体"/>
          <w:szCs w:val="21"/>
        </w:rPr>
        <w:t>具体操作步骤如下：</w:t>
      </w:r>
    </w:p>
    <w:p>
      <w:pPr>
        <w:spacing w:before="156" w:beforeLines="50" w:after="156" w:afterLines="50" w:line="360" w:lineRule="auto"/>
        <w:ind w:left="480"/>
        <w:rPr>
          <w:rFonts w:hint="eastAsia" w:ascii="宋体" w:hAnsi="宋体"/>
          <w:szCs w:val="21"/>
        </w:rPr>
      </w:pPr>
      <w:r>
        <w:rPr>
          <w:rFonts w:hint="eastAsia" w:ascii="宋体" w:hAnsi="宋体"/>
          <w:b/>
          <w:szCs w:val="21"/>
        </w:rPr>
        <w:t>第一步：</w:t>
      </w:r>
      <w:r>
        <w:rPr>
          <w:rFonts w:hint="eastAsia" w:ascii="宋体" w:hAnsi="宋体"/>
          <w:szCs w:val="21"/>
        </w:rPr>
        <w:t>学习中心登录统考信息管理系统</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登录中国现代远程与继续教育网，网址为：</w:t>
      </w:r>
      <w:r>
        <w:rPr>
          <w:rFonts w:hint="eastAsia" w:ascii="宋体" w:hAnsi="宋体"/>
          <w:szCs w:val="21"/>
        </w:rPr>
        <w:fldChar w:fldCharType="begin"/>
      </w:r>
      <w:r>
        <w:rPr>
          <w:rFonts w:hint="eastAsia" w:ascii="宋体" w:hAnsi="宋体"/>
          <w:szCs w:val="21"/>
        </w:rPr>
        <w:instrText xml:space="preserve"> HYPERLINK "http://www.cdce.cn" </w:instrText>
      </w:r>
      <w:r>
        <w:rPr>
          <w:rFonts w:hint="eastAsia" w:ascii="宋体" w:hAnsi="宋体"/>
          <w:szCs w:val="21"/>
        </w:rPr>
        <w:fldChar w:fldCharType="separate"/>
      </w:r>
      <w:r>
        <w:rPr>
          <w:rStyle w:val="23"/>
          <w:rFonts w:hint="eastAsia" w:ascii="宋体" w:hAnsi="宋体"/>
          <w:color w:val="auto"/>
          <w:szCs w:val="21"/>
        </w:rPr>
        <w:t>http://www.cdce.cn</w:t>
      </w:r>
      <w:r>
        <w:rPr>
          <w:rFonts w:hint="eastAsia" w:ascii="宋体" w:hAnsi="宋体"/>
          <w:szCs w:val="21"/>
        </w:rPr>
        <w:fldChar w:fldCharType="end"/>
      </w:r>
      <w:r>
        <w:rPr>
          <w:rFonts w:hint="eastAsia" w:ascii="宋体" w:hAnsi="宋体"/>
          <w:szCs w:val="21"/>
        </w:rPr>
        <w:t>，在首页中找到“统考服务”的任一“管理员入口”登录均可。</w:t>
      </w:r>
    </w:p>
    <w:p>
      <w:pPr>
        <w:snapToGrid w:val="0"/>
        <w:spacing w:before="156" w:beforeLines="50" w:after="156" w:afterLines="50" w:line="360" w:lineRule="auto"/>
        <w:jc w:val="center"/>
        <w:rPr>
          <w:rFonts w:hint="eastAsia" w:ascii="宋体" w:hAnsi="宋体"/>
          <w:szCs w:val="21"/>
        </w:rPr>
      </w:pPr>
      <w:r>
        <w:drawing>
          <wp:inline distT="0" distB="0" distL="114300" distR="114300">
            <wp:extent cx="4438015" cy="78105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438015" cy="781050"/>
                    </a:xfrm>
                    <a:prstGeom prst="rect">
                      <a:avLst/>
                    </a:prstGeom>
                    <a:noFill/>
                    <a:ln w="9525">
                      <a:noFill/>
                    </a:ln>
                  </pic:spPr>
                </pic:pic>
              </a:graphicData>
            </a:graphic>
          </wp:inline>
        </w:drawing>
      </w:r>
    </w:p>
    <w:p>
      <w:pPr>
        <w:snapToGrid w:val="0"/>
        <w:spacing w:before="156" w:beforeLines="50" w:after="156" w:afterLines="50" w:line="360" w:lineRule="auto"/>
        <w:jc w:val="center"/>
        <w:rPr>
          <w:rFonts w:hint="eastAsia" w:ascii="宋体" w:hAnsi="宋体"/>
          <w:szCs w:val="21"/>
        </w:rPr>
      </w:pPr>
      <w:r>
        <w:rPr>
          <w:rFonts w:hint="eastAsia" w:ascii="宋体" w:hAnsi="宋体"/>
          <w:szCs w:val="21"/>
        </w:rPr>
        <w:t>图2　学习中心选择登录界面</w:t>
      </w:r>
    </w:p>
    <w:p>
      <w:pPr>
        <w:snapToGrid w:val="0"/>
        <w:spacing w:line="360" w:lineRule="auto"/>
        <w:jc w:val="left"/>
        <w:rPr>
          <w:rFonts w:hint="eastAsia" w:ascii="宋体" w:hAnsi="宋体"/>
          <w:b/>
          <w:szCs w:val="21"/>
        </w:rPr>
      </w:pPr>
      <w:r>
        <w:rPr>
          <w:rFonts w:hint="eastAsia" w:ascii="宋体" w:hAnsi="宋体"/>
          <w:b/>
          <w:szCs w:val="21"/>
        </w:rPr>
        <w:t>登录页面：</w:t>
      </w:r>
    </w:p>
    <w:p>
      <w:pPr>
        <w:spacing w:line="360" w:lineRule="auto"/>
        <w:jc w:val="center"/>
        <w:rPr>
          <w:rFonts w:hint="eastAsia"/>
        </w:rPr>
      </w:pPr>
      <w:r>
        <w:drawing>
          <wp:inline distT="0" distB="0" distL="114300" distR="114300">
            <wp:extent cx="4592320" cy="3469005"/>
            <wp:effectExtent l="0" t="0" r="1778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4592320" cy="3469005"/>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图3　统考信息管理系统登录窗口</w:t>
      </w:r>
    </w:p>
    <w:p>
      <w:pPr>
        <w:spacing w:before="156" w:beforeLines="50" w:after="156" w:afterLines="50" w:line="360" w:lineRule="auto"/>
        <w:ind w:firstLine="422" w:firstLineChars="200"/>
        <w:rPr>
          <w:rFonts w:hint="eastAsia" w:ascii="宋体" w:hAnsi="宋体"/>
          <w:b/>
          <w:szCs w:val="21"/>
        </w:rPr>
      </w:pPr>
    </w:p>
    <w:p>
      <w:pPr>
        <w:spacing w:before="156" w:beforeLines="50" w:after="156" w:afterLines="50" w:line="360" w:lineRule="auto"/>
        <w:ind w:firstLine="422" w:firstLineChars="200"/>
        <w:rPr>
          <w:rFonts w:hint="eastAsia" w:ascii="宋体" w:hAnsi="宋体"/>
          <w:szCs w:val="21"/>
        </w:rPr>
      </w:pPr>
      <w:r>
        <w:rPr>
          <w:rFonts w:hint="eastAsia" w:ascii="宋体" w:hAnsi="宋体"/>
          <w:b/>
          <w:szCs w:val="21"/>
        </w:rPr>
        <w:t>第二步</w:t>
      </w:r>
      <w:r>
        <w:rPr>
          <w:rFonts w:hint="eastAsia" w:ascii="宋体" w:hAnsi="宋体"/>
          <w:szCs w:val="21"/>
        </w:rPr>
        <w:t>：考生信息查看</w:t>
      </w:r>
    </w:p>
    <w:p>
      <w:pPr>
        <w:spacing w:before="156" w:beforeLines="50" w:line="360" w:lineRule="auto"/>
        <w:ind w:firstLine="420" w:firstLineChars="200"/>
        <w:rPr>
          <w:rFonts w:hint="eastAsia" w:ascii="宋体" w:hAnsi="宋体"/>
          <w:szCs w:val="21"/>
        </w:rPr>
      </w:pPr>
      <w:r>
        <w:rPr>
          <w:rFonts w:hint="eastAsia" w:ascii="宋体" w:hAnsi="宋体"/>
          <w:szCs w:val="21"/>
        </w:rPr>
        <w:t>学习中心登录后，显示如图4所示</w:t>
      </w:r>
    </w:p>
    <w:p>
      <w:pPr>
        <w:spacing w:line="360" w:lineRule="auto"/>
        <w:jc w:val="center"/>
        <w:rPr>
          <w:rFonts w:hint="eastAsia" w:ascii="宋体" w:hAnsi="宋体"/>
          <w:szCs w:val="21"/>
        </w:rPr>
      </w:pPr>
      <w:r>
        <w:drawing>
          <wp:inline distT="0" distB="0" distL="114300" distR="114300">
            <wp:extent cx="5196205" cy="2794635"/>
            <wp:effectExtent l="0" t="0" r="4445"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196205" cy="2794635"/>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图4　统考信息管理系统登录主界面</w:t>
      </w:r>
    </w:p>
    <w:p>
      <w:pPr>
        <w:spacing w:line="360" w:lineRule="auto"/>
        <w:ind w:firstLine="420" w:firstLineChars="200"/>
        <w:rPr>
          <w:rFonts w:hint="eastAsia" w:ascii="宋体" w:hAnsi="宋体"/>
          <w:szCs w:val="21"/>
        </w:rPr>
      </w:pPr>
      <w:r>
        <w:rPr>
          <w:rFonts w:hint="eastAsia" w:ascii="宋体" w:hAnsi="宋体"/>
          <w:szCs w:val="21"/>
        </w:rPr>
        <w:t>学习中心登录系统后，可通过“考生数据管理”查看到本批次及历史批次考生基本信息。</w:t>
      </w:r>
    </w:p>
    <w:p>
      <w:pPr>
        <w:spacing w:line="360" w:lineRule="auto"/>
        <w:outlineLvl w:val="3"/>
        <w:rPr>
          <w:rFonts w:hint="eastAsia" w:ascii="宋体" w:hAnsi="宋体"/>
          <w:b/>
          <w:bCs/>
          <w:szCs w:val="21"/>
        </w:rPr>
      </w:pPr>
      <w:r>
        <w:rPr>
          <w:rFonts w:hint="eastAsia" w:ascii="宋体" w:hAnsi="宋体"/>
          <w:b/>
          <w:bCs/>
          <w:szCs w:val="21"/>
        </w:rPr>
        <w:t>1.1.1考生基本信息查看</w:t>
      </w:r>
      <w:r>
        <w:rPr>
          <w:rFonts w:ascii="宋体" w:hAnsi="宋体"/>
          <w:b/>
          <w:bCs/>
          <w:szCs w:val="21"/>
        </w:rPr>
        <w:tab/>
      </w:r>
    </w:p>
    <w:p>
      <w:pPr>
        <w:spacing w:line="360" w:lineRule="auto"/>
        <w:ind w:firstLine="420"/>
        <w:rPr>
          <w:rFonts w:hint="eastAsia" w:ascii="宋体" w:hAnsi="宋体"/>
          <w:szCs w:val="21"/>
        </w:rPr>
      </w:pPr>
      <w:r>
        <w:rPr>
          <w:rFonts w:hint="eastAsia" w:ascii="宋体" w:hAnsi="宋体"/>
          <w:szCs w:val="21"/>
        </w:rPr>
        <w:t>学习中心可查看试点高校导入系统中的考生基本信息查看。如果发现基本信息有误，应及时与试点高校进行联系，由试点高校进行修改。</w:t>
      </w:r>
    </w:p>
    <w:p>
      <w:pPr>
        <w:spacing w:line="360" w:lineRule="auto"/>
        <w:ind w:firstLine="359" w:firstLineChars="171"/>
        <w:jc w:val="center"/>
        <w:rPr>
          <w:rFonts w:hint="eastAsia"/>
        </w:rPr>
      </w:pPr>
    </w:p>
    <w:p>
      <w:pPr>
        <w:spacing w:line="360" w:lineRule="auto"/>
        <w:rPr>
          <w:rFonts w:hint="eastAsia" w:ascii="宋体" w:hAnsi="宋体"/>
          <w:szCs w:val="21"/>
        </w:rPr>
      </w:pPr>
    </w:p>
    <w:p>
      <w:pPr>
        <w:spacing w:before="50" w:after="156" w:afterLines="50" w:line="360" w:lineRule="auto"/>
        <w:jc w:val="center"/>
        <w:rPr>
          <w:rFonts w:hint="eastAsia" w:ascii="宋体" w:hAnsi="宋体"/>
          <w:szCs w:val="21"/>
        </w:rPr>
      </w:pPr>
      <w:r>
        <w:drawing>
          <wp:inline distT="0" distB="0" distL="114300" distR="114300">
            <wp:extent cx="5175885" cy="2782570"/>
            <wp:effectExtent l="0" t="0" r="571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175885" cy="2782570"/>
                    </a:xfrm>
                    <a:prstGeom prst="rect">
                      <a:avLst/>
                    </a:prstGeom>
                    <a:noFill/>
                    <a:ln w="9525">
                      <a:noFill/>
                    </a:ln>
                  </pic:spPr>
                </pic:pic>
              </a:graphicData>
            </a:graphic>
          </wp:inline>
        </w:drawing>
      </w:r>
    </w:p>
    <w:p>
      <w:pPr>
        <w:spacing w:before="50" w:after="156" w:afterLines="50" w:line="360" w:lineRule="auto"/>
        <w:jc w:val="center"/>
        <w:rPr>
          <w:rFonts w:hint="eastAsia" w:ascii="宋体" w:hAnsi="宋体"/>
          <w:szCs w:val="21"/>
        </w:rPr>
      </w:pPr>
      <w:r>
        <w:rPr>
          <w:rFonts w:hint="eastAsia" w:ascii="宋体" w:hAnsi="宋体"/>
          <w:szCs w:val="21"/>
        </w:rPr>
        <w:t xml:space="preserve">图5  基本信息查看 </w:t>
      </w:r>
    </w:p>
    <w:p>
      <w:pPr>
        <w:spacing w:before="50" w:after="156" w:afterLines="50" w:line="360" w:lineRule="auto"/>
        <w:rPr>
          <w:rFonts w:hint="eastAsia" w:ascii="宋体" w:hAnsi="宋体"/>
          <w:szCs w:val="21"/>
        </w:rPr>
      </w:pPr>
      <w:r>
        <w:rPr>
          <w:rFonts w:hint="eastAsia" w:ascii="宋体" w:hAnsi="宋体"/>
          <w:szCs w:val="21"/>
        </w:rPr>
        <w:t xml:space="preserve">     学习中心可通过考生信息上传批次、考生学号、考生姓名、证件号码、准考证等条件查询到考生基本信息。</w:t>
      </w:r>
    </w:p>
    <w:p>
      <w:pPr>
        <w:spacing w:line="360" w:lineRule="auto"/>
        <w:outlineLvl w:val="3"/>
        <w:rPr>
          <w:rFonts w:hint="eastAsia" w:ascii="宋体" w:hAnsi="宋体"/>
          <w:b/>
          <w:bCs/>
          <w:szCs w:val="21"/>
        </w:rPr>
      </w:pPr>
      <w:r>
        <w:rPr>
          <w:rFonts w:hint="eastAsia" w:ascii="宋体" w:hAnsi="宋体"/>
          <w:b/>
          <w:bCs/>
          <w:szCs w:val="21"/>
        </w:rPr>
        <w:t>1.1.2考生照片查看</w:t>
      </w:r>
    </w:p>
    <w:p>
      <w:pPr>
        <w:spacing w:before="156" w:beforeLines="50" w:after="156" w:afterLines="50" w:line="360" w:lineRule="auto"/>
        <w:ind w:firstLine="357" w:firstLineChars="170"/>
        <w:rPr>
          <w:rFonts w:hint="eastAsia" w:ascii="仿宋_GB2312"/>
          <w:szCs w:val="21"/>
        </w:rPr>
      </w:pPr>
      <w:r>
        <w:rPr>
          <w:rFonts w:hint="eastAsia" w:ascii="宋体" w:hAnsi="宋体"/>
          <w:szCs w:val="21"/>
        </w:rPr>
        <w:t>考生可通过此功能查看到所有的照片信息。查询条件包括：信息上传批次、学号、姓名、有照片的考生信息、没有照片的考生信息等。</w:t>
      </w:r>
    </w:p>
    <w:p>
      <w:pPr>
        <w:spacing w:before="156" w:beforeLines="50" w:after="156" w:afterLines="50" w:line="360" w:lineRule="auto"/>
        <w:ind w:firstLine="357" w:firstLineChars="170"/>
        <w:jc w:val="center"/>
        <w:rPr>
          <w:rFonts w:hint="eastAsia" w:ascii="宋体" w:hAnsi="宋体"/>
          <w:szCs w:val="21"/>
        </w:rPr>
      </w:pPr>
      <w:r>
        <w:drawing>
          <wp:inline distT="0" distB="0" distL="114300" distR="114300">
            <wp:extent cx="4624705" cy="2527300"/>
            <wp:effectExtent l="0" t="0" r="4445" b="635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15"/>
                    <a:stretch>
                      <a:fillRect/>
                    </a:stretch>
                  </pic:blipFill>
                  <pic:spPr>
                    <a:xfrm>
                      <a:off x="0" y="0"/>
                      <a:ext cx="4624705" cy="252730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图6  考生照片查看</w:t>
      </w:r>
    </w:p>
    <w:p>
      <w:pPr>
        <w:pStyle w:val="4"/>
        <w:spacing w:before="120" w:after="120" w:line="360" w:lineRule="auto"/>
        <w:rPr>
          <w:rFonts w:hint="eastAsia" w:ascii="宋体" w:hAnsi="宋体"/>
          <w:sz w:val="21"/>
          <w:szCs w:val="21"/>
        </w:rPr>
      </w:pPr>
      <w:bookmarkStart w:id="46" w:name="_Toc535574114"/>
      <w:r>
        <w:rPr>
          <w:rFonts w:hint="eastAsia" w:ascii="宋体" w:hAnsi="宋体"/>
          <w:sz w:val="21"/>
          <w:szCs w:val="21"/>
        </w:rPr>
        <w:t>1.2学习中心管理</w:t>
      </w:r>
      <w:bookmarkEnd w:id="46"/>
    </w:p>
    <w:p>
      <w:pPr>
        <w:ind w:firstLine="420" w:firstLineChars="200"/>
        <w:rPr>
          <w:rFonts w:hint="eastAsia" w:ascii="宋体" w:hAnsi="宋体"/>
          <w:szCs w:val="21"/>
        </w:rPr>
      </w:pPr>
      <w:r>
        <w:rPr>
          <w:rFonts w:hint="eastAsia" w:ascii="宋体" w:hAnsi="宋体"/>
          <w:szCs w:val="21"/>
        </w:rPr>
        <w:t>学习中心管理的主要功能是对学习中心信息进行修改，如学习中心的名称、登录密码、联系地址等。</w:t>
      </w:r>
    </w:p>
    <w:p>
      <w:pPr>
        <w:rPr>
          <w:rFonts w:hint="eastAsia" w:ascii="宋体" w:hAnsi="宋体"/>
          <w:szCs w:val="21"/>
        </w:rPr>
      </w:pPr>
      <w:r>
        <w:rPr>
          <w:rFonts w:hint="eastAsia" w:ascii="宋体" w:hAnsi="宋体"/>
          <w:szCs w:val="21"/>
        </w:rPr>
        <w:t xml:space="preserve"> </w:t>
      </w:r>
      <w:r>
        <w:rPr>
          <w:rFonts w:hint="eastAsia" w:ascii="宋体" w:hAnsi="宋体"/>
          <w:szCs w:val="21"/>
        </w:rPr>
        <w:drawing>
          <wp:inline distT="0" distB="0" distL="114300" distR="114300">
            <wp:extent cx="5179695" cy="3170555"/>
            <wp:effectExtent l="0" t="0" r="1905" b="10795"/>
            <wp:docPr id="7" name="图片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8"/>
                    <pic:cNvPicPr>
                      <a:picLocks noChangeAspect="1"/>
                    </pic:cNvPicPr>
                  </pic:nvPicPr>
                  <pic:blipFill>
                    <a:blip r:embed="rId16"/>
                    <a:stretch>
                      <a:fillRect/>
                    </a:stretch>
                  </pic:blipFill>
                  <pic:spPr>
                    <a:xfrm>
                      <a:off x="0" y="0"/>
                      <a:ext cx="5179695" cy="3170555"/>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图7  学习中心信息修改</w:t>
      </w:r>
    </w:p>
    <w:p>
      <w:pPr>
        <w:pStyle w:val="4"/>
        <w:spacing w:before="120" w:after="120" w:line="360" w:lineRule="auto"/>
        <w:rPr>
          <w:rFonts w:hint="eastAsia" w:ascii="宋体" w:hAnsi="宋体"/>
          <w:sz w:val="21"/>
          <w:szCs w:val="21"/>
        </w:rPr>
      </w:pPr>
      <w:bookmarkStart w:id="47" w:name="_Toc154477105"/>
      <w:bookmarkStart w:id="48" w:name="_Toc154455734"/>
      <w:bookmarkStart w:id="49" w:name="_Toc155006821"/>
      <w:bookmarkStart w:id="50" w:name="_Toc155007922"/>
      <w:bookmarkStart w:id="51" w:name="_Toc155090939"/>
      <w:bookmarkStart w:id="52" w:name="_Toc187142141"/>
      <w:bookmarkStart w:id="53" w:name="_Toc187142467"/>
      <w:bookmarkStart w:id="54" w:name="_Toc187142521"/>
      <w:bookmarkStart w:id="55" w:name="_Toc187142721"/>
      <w:bookmarkStart w:id="56" w:name="_Toc222801060"/>
      <w:bookmarkStart w:id="57" w:name="_Toc154562097"/>
      <w:bookmarkStart w:id="58" w:name="_Toc154657569"/>
      <w:bookmarkStart w:id="59" w:name="_Toc155006182"/>
      <w:bookmarkStart w:id="60" w:name="_Toc154455690"/>
      <w:bookmarkStart w:id="61" w:name="_Toc154408193"/>
      <w:bookmarkStart w:id="62" w:name="_Toc154374291"/>
      <w:bookmarkStart w:id="63" w:name="_Toc535574115"/>
      <w:r>
        <w:rPr>
          <w:rFonts w:hint="eastAsia" w:ascii="宋体" w:hAnsi="宋体"/>
          <w:sz w:val="21"/>
          <w:szCs w:val="21"/>
        </w:rPr>
        <w:t>1.3</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hint="eastAsia" w:ascii="宋体" w:hAnsi="宋体"/>
          <w:sz w:val="21"/>
          <w:szCs w:val="21"/>
        </w:rPr>
        <w:t>报考数据管理</w:t>
      </w:r>
      <w:bookmarkEnd w:id="63"/>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报考数据管理功能主要包含：报考信息查看、报考信息导出、准考证下载、报考信息统计功能。</w:t>
      </w:r>
    </w:p>
    <w:p>
      <w:pPr>
        <w:spacing w:line="360" w:lineRule="auto"/>
        <w:outlineLvl w:val="3"/>
        <w:rPr>
          <w:rFonts w:hint="eastAsia" w:ascii="宋体" w:hAnsi="宋体"/>
          <w:b/>
          <w:bCs/>
          <w:szCs w:val="21"/>
        </w:rPr>
      </w:pPr>
      <w:r>
        <w:rPr>
          <w:rFonts w:hint="eastAsia" w:ascii="宋体" w:hAnsi="宋体"/>
          <w:b/>
          <w:bCs/>
          <w:szCs w:val="21"/>
        </w:rPr>
        <w:t>1.3.1报考信息查看</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功能说明： 报考信息查看可以查看当前正在统考的批次的学生报考情况，如学生的缴费状态、报考时间、报考考点等相关信息。</w:t>
      </w:r>
    </w:p>
    <w:p>
      <w:pPr>
        <w:spacing w:before="156" w:beforeLines="50" w:after="156" w:afterLines="50" w:line="360" w:lineRule="auto"/>
        <w:ind w:firstLine="420" w:firstLineChars="200"/>
        <w:rPr>
          <w:rFonts w:hint="eastAsia" w:ascii="宋体" w:hAnsi="宋体"/>
          <w:szCs w:val="21"/>
        </w:rPr>
      </w:pPr>
    </w:p>
    <w:p>
      <w:pPr>
        <w:spacing w:before="156" w:beforeLines="50" w:after="156" w:afterLines="50" w:line="360" w:lineRule="auto"/>
        <w:rPr>
          <w:rFonts w:hint="eastAsia"/>
        </w:rPr>
      </w:pPr>
      <w:r>
        <w:drawing>
          <wp:inline distT="0" distB="0" distL="114300" distR="114300">
            <wp:extent cx="5181600" cy="2707640"/>
            <wp:effectExtent l="0" t="0" r="0" b="165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7"/>
                    <a:stretch>
                      <a:fillRect/>
                    </a:stretch>
                  </pic:blipFill>
                  <pic:spPr>
                    <a:xfrm>
                      <a:off x="0" y="0"/>
                      <a:ext cx="5181600" cy="270764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图8  报考信息查看</w:t>
      </w:r>
    </w:p>
    <w:p>
      <w:pPr>
        <w:spacing w:line="360" w:lineRule="auto"/>
        <w:outlineLvl w:val="3"/>
        <w:rPr>
          <w:rFonts w:hint="eastAsia" w:ascii="宋体" w:hAnsi="宋体"/>
          <w:b/>
          <w:bCs/>
          <w:szCs w:val="21"/>
        </w:rPr>
      </w:pPr>
      <w:r>
        <w:rPr>
          <w:rFonts w:hint="eastAsia" w:ascii="宋体" w:hAnsi="宋体"/>
          <w:b/>
          <w:bCs/>
          <w:szCs w:val="21"/>
        </w:rPr>
        <w:t>1.3.2报考成功导出</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功能说明： 报考成功导出，对于本批次报考的学生可以通过查询操作类型，进行导出查看。</w:t>
      </w:r>
    </w:p>
    <w:p>
      <w:pPr>
        <w:spacing w:line="360" w:lineRule="auto"/>
        <w:outlineLvl w:val="3"/>
        <w:rPr>
          <w:rFonts w:hint="eastAsia" w:ascii="宋体" w:hAnsi="宋体"/>
          <w:b/>
          <w:bCs/>
          <w:szCs w:val="21"/>
        </w:rPr>
      </w:pPr>
      <w:r>
        <w:drawing>
          <wp:inline distT="0" distB="0" distL="114300" distR="114300">
            <wp:extent cx="5485765" cy="3008630"/>
            <wp:effectExtent l="0" t="0" r="635"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5765" cy="300863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图9  报考成功导出</w:t>
      </w:r>
    </w:p>
    <w:p>
      <w:pPr>
        <w:spacing w:line="360" w:lineRule="auto"/>
        <w:outlineLvl w:val="3"/>
        <w:rPr>
          <w:rFonts w:hint="eastAsia" w:ascii="宋体" w:hAnsi="宋体"/>
          <w:b/>
          <w:bCs/>
          <w:szCs w:val="21"/>
        </w:rPr>
      </w:pPr>
      <w:r>
        <w:rPr>
          <w:rFonts w:hint="eastAsia" w:ascii="宋体" w:hAnsi="宋体"/>
          <w:b/>
          <w:bCs/>
          <w:szCs w:val="21"/>
        </w:rPr>
        <w:t>1.3.3准考证下载</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功能说明： 可以协助考生打印本批次准考证。</w:t>
      </w:r>
    </w:p>
    <w:p>
      <w:pPr>
        <w:spacing w:before="156" w:beforeLines="50" w:after="156" w:afterLines="50" w:line="360" w:lineRule="auto"/>
        <w:jc w:val="center"/>
        <w:rPr>
          <w:rFonts w:hint="eastAsia"/>
        </w:rPr>
      </w:pPr>
      <w:r>
        <w:drawing>
          <wp:inline distT="0" distB="0" distL="114300" distR="114300">
            <wp:extent cx="5166360" cy="4991100"/>
            <wp:effectExtent l="0" t="0" r="15240"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19"/>
                    <a:stretch>
                      <a:fillRect/>
                    </a:stretch>
                  </pic:blipFill>
                  <pic:spPr>
                    <a:xfrm>
                      <a:off x="0" y="0"/>
                      <a:ext cx="5166360" cy="499110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图10  准考证打印</w:t>
      </w:r>
    </w:p>
    <w:p>
      <w:pPr>
        <w:spacing w:line="360" w:lineRule="auto"/>
        <w:outlineLvl w:val="3"/>
        <w:rPr>
          <w:rFonts w:hint="eastAsia" w:ascii="宋体" w:hAnsi="宋体"/>
          <w:b/>
          <w:bCs/>
          <w:szCs w:val="21"/>
        </w:rPr>
      </w:pPr>
      <w:r>
        <w:rPr>
          <w:rFonts w:hint="eastAsia" w:ascii="宋体" w:hAnsi="宋体"/>
          <w:b/>
          <w:bCs/>
          <w:szCs w:val="21"/>
        </w:rPr>
        <w:t>1.3.4报考信息统计</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功能说明： 对考生报考的各科目的详细统计</w:t>
      </w:r>
    </w:p>
    <w:p>
      <w:pPr>
        <w:spacing w:before="156" w:beforeLines="50" w:after="156" w:afterLines="50" w:line="360" w:lineRule="auto"/>
        <w:ind w:firstLine="357" w:firstLineChars="170"/>
        <w:jc w:val="center"/>
        <w:rPr>
          <w:rFonts w:hint="eastAsia" w:ascii="宋体" w:hAnsi="宋体"/>
          <w:szCs w:val="21"/>
        </w:rPr>
      </w:pPr>
    </w:p>
    <w:p>
      <w:pPr>
        <w:spacing w:before="156" w:beforeLines="50" w:after="156" w:afterLines="50" w:line="360" w:lineRule="auto"/>
        <w:rPr>
          <w:rFonts w:hint="eastAsia" w:ascii="宋体" w:hAnsi="宋体"/>
          <w:szCs w:val="21"/>
        </w:rPr>
      </w:pPr>
      <w:r>
        <w:drawing>
          <wp:inline distT="0" distB="0" distL="114300" distR="114300">
            <wp:extent cx="5181600" cy="1510030"/>
            <wp:effectExtent l="0" t="0" r="0" b="1397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pic:cNvPicPr>
                  </pic:nvPicPr>
                  <pic:blipFill>
                    <a:blip r:embed="rId20"/>
                    <a:stretch>
                      <a:fillRect/>
                    </a:stretch>
                  </pic:blipFill>
                  <pic:spPr>
                    <a:xfrm>
                      <a:off x="0" y="0"/>
                      <a:ext cx="5181600" cy="151003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图11  报考信息统计</w:t>
      </w:r>
    </w:p>
    <w:p>
      <w:pPr>
        <w:pStyle w:val="4"/>
        <w:spacing w:before="120" w:after="120" w:line="360" w:lineRule="auto"/>
        <w:rPr>
          <w:rFonts w:hint="eastAsia" w:ascii="宋体" w:hAnsi="宋体"/>
          <w:sz w:val="21"/>
          <w:szCs w:val="21"/>
        </w:rPr>
      </w:pPr>
      <w:bookmarkStart w:id="64" w:name="_Toc535574116"/>
      <w:r>
        <w:rPr>
          <w:rFonts w:hint="eastAsia" w:ascii="宋体" w:hAnsi="宋体"/>
          <w:sz w:val="21"/>
          <w:szCs w:val="21"/>
        </w:rPr>
        <w:t>1.4缴费管理</w:t>
      </w:r>
      <w:bookmarkEnd w:id="64"/>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缴费管理功能主要包含：缴费信息查看、缴费信息统计功能。</w:t>
      </w:r>
    </w:p>
    <w:p>
      <w:pPr>
        <w:spacing w:line="360" w:lineRule="auto"/>
        <w:outlineLvl w:val="3"/>
        <w:rPr>
          <w:rFonts w:hint="eastAsia" w:ascii="宋体" w:hAnsi="宋体"/>
          <w:b/>
          <w:bCs/>
          <w:szCs w:val="21"/>
        </w:rPr>
      </w:pPr>
      <w:r>
        <w:rPr>
          <w:rFonts w:hint="eastAsia" w:ascii="宋体" w:hAnsi="宋体"/>
          <w:b/>
          <w:bCs/>
          <w:szCs w:val="21"/>
        </w:rPr>
        <w:t>1.4.1缴费信息查看</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功能说明： 对考生报考各科目的缴费信息查看</w:t>
      </w:r>
    </w:p>
    <w:p>
      <w:pPr>
        <w:spacing w:before="156" w:beforeLines="50" w:after="156" w:afterLines="50" w:line="360" w:lineRule="auto"/>
        <w:rPr>
          <w:rFonts w:hint="eastAsia" w:ascii="宋体" w:hAnsi="宋体"/>
          <w:szCs w:val="21"/>
        </w:rPr>
      </w:pPr>
      <w:r>
        <w:drawing>
          <wp:inline distT="0" distB="0" distL="114300" distR="114300">
            <wp:extent cx="5178425" cy="2946400"/>
            <wp:effectExtent l="0" t="0" r="3175"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1"/>
                    <a:stretch>
                      <a:fillRect/>
                    </a:stretch>
                  </pic:blipFill>
                  <pic:spPr>
                    <a:xfrm>
                      <a:off x="0" y="0"/>
                      <a:ext cx="5178425" cy="294640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图12  缴费信息查看</w:t>
      </w:r>
    </w:p>
    <w:p>
      <w:pPr>
        <w:spacing w:before="156" w:beforeLines="50" w:after="156" w:afterLines="50" w:line="360" w:lineRule="auto"/>
        <w:jc w:val="center"/>
        <w:rPr>
          <w:rFonts w:hint="eastAsia"/>
        </w:rPr>
      </w:pPr>
    </w:p>
    <w:p>
      <w:pPr>
        <w:spacing w:before="156" w:beforeLines="50" w:after="156" w:afterLines="50" w:line="360" w:lineRule="auto"/>
        <w:jc w:val="center"/>
        <w:rPr>
          <w:rFonts w:hint="eastAsia"/>
        </w:rPr>
      </w:pPr>
    </w:p>
    <w:p>
      <w:pPr>
        <w:spacing w:line="360" w:lineRule="auto"/>
        <w:outlineLvl w:val="3"/>
        <w:rPr>
          <w:rFonts w:hint="eastAsia" w:ascii="宋体" w:hAnsi="宋体"/>
          <w:b/>
          <w:bCs/>
          <w:szCs w:val="21"/>
        </w:rPr>
      </w:pPr>
      <w:r>
        <w:rPr>
          <w:rFonts w:hint="eastAsia" w:ascii="宋体" w:hAnsi="宋体"/>
          <w:b/>
          <w:bCs/>
          <w:szCs w:val="21"/>
        </w:rPr>
        <w:t>1.4.2缴费信息统计</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功能说明： 对考生报考各科目的缴费信息统计</w:t>
      </w:r>
    </w:p>
    <w:p>
      <w:pPr>
        <w:spacing w:before="156" w:beforeLines="50" w:after="156" w:afterLines="50" w:line="360" w:lineRule="auto"/>
        <w:jc w:val="center"/>
        <w:rPr>
          <w:rFonts w:hint="eastAsia"/>
        </w:rPr>
      </w:pPr>
      <w:r>
        <w:drawing>
          <wp:inline distT="0" distB="0" distL="114300" distR="114300">
            <wp:extent cx="5238115" cy="1878330"/>
            <wp:effectExtent l="0" t="0" r="635"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a:stretch>
                      <a:fillRect/>
                    </a:stretch>
                  </pic:blipFill>
                  <pic:spPr>
                    <a:xfrm>
                      <a:off x="0" y="0"/>
                      <a:ext cx="5238115" cy="187833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图13  缴费信息统计</w:t>
      </w:r>
    </w:p>
    <w:p>
      <w:pPr>
        <w:pStyle w:val="4"/>
        <w:spacing w:before="120" w:after="120" w:line="360" w:lineRule="auto"/>
        <w:rPr>
          <w:rFonts w:hint="eastAsia" w:ascii="宋体" w:hAnsi="宋体"/>
          <w:sz w:val="21"/>
          <w:szCs w:val="21"/>
        </w:rPr>
      </w:pPr>
      <w:bookmarkStart w:id="65" w:name="_Toc535574117"/>
      <w:r>
        <w:rPr>
          <w:rFonts w:hint="eastAsia" w:ascii="宋体" w:hAnsi="宋体"/>
          <w:sz w:val="21"/>
          <w:szCs w:val="21"/>
        </w:rPr>
        <w:t>1.5免考管理</w:t>
      </w:r>
      <w:bookmarkEnd w:id="65"/>
    </w:p>
    <w:p>
      <w:pPr>
        <w:spacing w:line="360" w:lineRule="auto"/>
        <w:ind w:firstLine="420" w:firstLineChars="200"/>
        <w:rPr>
          <w:rFonts w:hint="eastAsia" w:ascii="宋体" w:hAnsi="宋体"/>
          <w:szCs w:val="21"/>
        </w:rPr>
      </w:pPr>
      <w:r>
        <w:rPr>
          <w:rFonts w:hint="eastAsia" w:ascii="宋体" w:hAnsi="宋体"/>
          <w:szCs w:val="21"/>
        </w:rPr>
        <w:t>免考信息查看只要查看各批次的免考信息，如根据学号选择单个学生的免考信息情况，可以查看整个学习中心的免考情况。</w:t>
      </w:r>
    </w:p>
    <w:p>
      <w:pPr>
        <w:spacing w:line="360" w:lineRule="auto"/>
        <w:rPr>
          <w:rFonts w:hint="eastAsia" w:ascii="宋体" w:hAnsi="宋体"/>
          <w:szCs w:val="21"/>
        </w:rPr>
      </w:pPr>
      <w:r>
        <w:drawing>
          <wp:inline distT="0" distB="0" distL="114300" distR="114300">
            <wp:extent cx="5183505" cy="3026410"/>
            <wp:effectExtent l="0" t="0" r="1714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tretch>
                      <a:fillRect/>
                    </a:stretch>
                  </pic:blipFill>
                  <pic:spPr>
                    <a:xfrm>
                      <a:off x="0" y="0"/>
                      <a:ext cx="5183505" cy="3026410"/>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图14  免考信息查看</w:t>
      </w:r>
    </w:p>
    <w:p>
      <w:pPr>
        <w:pStyle w:val="4"/>
        <w:spacing w:before="120" w:after="120" w:line="360" w:lineRule="auto"/>
        <w:rPr>
          <w:rFonts w:hint="eastAsia" w:ascii="宋体" w:hAnsi="宋体"/>
          <w:sz w:val="21"/>
          <w:szCs w:val="21"/>
        </w:rPr>
      </w:pPr>
      <w:bookmarkStart w:id="66" w:name="_Toc535574118"/>
      <w:bookmarkStart w:id="67" w:name="_Toc380154698"/>
      <w:bookmarkStart w:id="68" w:name="_Toc154374298"/>
      <w:bookmarkStart w:id="69" w:name="_Toc154474293"/>
      <w:bookmarkStart w:id="70" w:name="_Toc154477112"/>
      <w:bookmarkStart w:id="71" w:name="_Toc154562104"/>
      <w:bookmarkStart w:id="72" w:name="_Toc154657576"/>
      <w:bookmarkStart w:id="73" w:name="_Toc155006189"/>
      <w:bookmarkStart w:id="74" w:name="_Toc155006827"/>
      <w:bookmarkStart w:id="75" w:name="_Toc155007928"/>
      <w:bookmarkStart w:id="76" w:name="_Toc155090945"/>
      <w:bookmarkStart w:id="77" w:name="_Toc187142144"/>
      <w:bookmarkStart w:id="78" w:name="_Toc187142470"/>
      <w:bookmarkStart w:id="79" w:name="_Toc187142524"/>
      <w:bookmarkStart w:id="80" w:name="_Toc187142724"/>
      <w:r>
        <w:rPr>
          <w:rFonts w:hint="eastAsia" w:ascii="宋体" w:hAnsi="宋体"/>
          <w:sz w:val="21"/>
          <w:szCs w:val="21"/>
        </w:rPr>
        <w:t>1.6成绩管理</w:t>
      </w:r>
      <w:bookmarkEnd w:id="66"/>
    </w:p>
    <w:p>
      <w:pPr>
        <w:spacing w:line="360" w:lineRule="auto"/>
        <w:ind w:firstLine="420" w:firstLineChars="200"/>
        <w:rPr>
          <w:rFonts w:hint="eastAsia" w:ascii="宋体" w:hAnsi="宋体"/>
          <w:szCs w:val="21"/>
        </w:rPr>
      </w:pPr>
      <w:r>
        <w:rPr>
          <w:rFonts w:hint="eastAsia" w:ascii="宋体" w:hAnsi="宋体"/>
          <w:szCs w:val="21"/>
        </w:rPr>
        <w:t>成绩信息查看根据选择的批次，可以查看单个学生的成绩，也可以查看整个学习中心的学生成绩，并对于查出来的成绩，进行导出查看。</w:t>
      </w:r>
    </w:p>
    <w:p>
      <w:pPr>
        <w:spacing w:line="360" w:lineRule="auto"/>
        <w:rPr>
          <w:rFonts w:hint="eastAsia" w:ascii="宋体" w:hAnsi="宋体"/>
          <w:szCs w:val="21"/>
        </w:rPr>
      </w:pPr>
      <w:r>
        <w:drawing>
          <wp:inline distT="0" distB="0" distL="114300" distR="114300">
            <wp:extent cx="5179060" cy="2811145"/>
            <wp:effectExtent l="0" t="0" r="2540" b="825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4"/>
                    <a:stretch>
                      <a:fillRect/>
                    </a:stretch>
                  </pic:blipFill>
                  <pic:spPr>
                    <a:xfrm>
                      <a:off x="0" y="0"/>
                      <a:ext cx="5179060" cy="2811145"/>
                    </a:xfrm>
                    <a:prstGeom prst="rect">
                      <a:avLst/>
                    </a:prstGeom>
                    <a:noFill/>
                    <a:ln w="9525">
                      <a:noFill/>
                    </a:ln>
                  </pic:spPr>
                </pic:pic>
              </a:graphicData>
            </a:graphic>
          </wp:inline>
        </w:drawing>
      </w:r>
    </w:p>
    <w:p>
      <w:pPr>
        <w:spacing w:before="156" w:beforeLines="50" w:after="156" w:afterLines="50" w:line="360" w:lineRule="auto"/>
        <w:ind w:firstLine="357" w:firstLineChars="170"/>
        <w:jc w:val="center"/>
        <w:rPr>
          <w:rFonts w:hint="eastAsia" w:ascii="宋体" w:hAnsi="宋体"/>
          <w:szCs w:val="21"/>
        </w:rPr>
      </w:pPr>
      <w:r>
        <w:rPr>
          <w:rFonts w:hint="eastAsia" w:ascii="宋体" w:hAnsi="宋体"/>
          <w:szCs w:val="21"/>
        </w:rPr>
        <w:t>图15  成绩信息查看</w:t>
      </w:r>
    </w:p>
    <w:p>
      <w:pPr>
        <w:pStyle w:val="4"/>
        <w:spacing w:before="120" w:after="80" w:line="360" w:lineRule="auto"/>
        <w:rPr>
          <w:rFonts w:hint="eastAsia" w:ascii="宋体" w:hAnsi="宋体"/>
          <w:sz w:val="21"/>
          <w:szCs w:val="21"/>
        </w:rPr>
      </w:pPr>
      <w:bookmarkStart w:id="81" w:name="_Toc535574119"/>
      <w:r>
        <w:rPr>
          <w:rFonts w:hint="eastAsia" w:ascii="宋体" w:hAnsi="宋体"/>
          <w:sz w:val="21"/>
          <w:szCs w:val="21"/>
        </w:rPr>
        <w:t>1.7注册信息管理</w:t>
      </w:r>
      <w:bookmarkEnd w:id="81"/>
    </w:p>
    <w:p>
      <w:pPr>
        <w:spacing w:line="360" w:lineRule="auto"/>
        <w:ind w:firstLine="420" w:firstLineChars="200"/>
        <w:rPr>
          <w:rFonts w:hint="eastAsia" w:ascii="宋体" w:hAnsi="宋体"/>
          <w:szCs w:val="21"/>
        </w:rPr>
      </w:pPr>
      <w:r>
        <w:rPr>
          <w:rFonts w:hint="eastAsia" w:ascii="宋体" w:hAnsi="宋体"/>
          <w:szCs w:val="21"/>
        </w:rPr>
        <w:t>注册信息管理包括注册信息申诉处理和注册信息查看。</w:t>
      </w:r>
    </w:p>
    <w:p>
      <w:pPr>
        <w:spacing w:line="360" w:lineRule="auto"/>
        <w:outlineLvl w:val="3"/>
        <w:rPr>
          <w:rFonts w:hint="eastAsia" w:ascii="宋体" w:hAnsi="宋体"/>
          <w:szCs w:val="21"/>
        </w:rPr>
      </w:pPr>
      <w:r>
        <w:rPr>
          <w:rFonts w:hint="eastAsia" w:ascii="宋体" w:hAnsi="宋体"/>
          <w:szCs w:val="21"/>
        </w:rPr>
        <w:t>1</w:t>
      </w:r>
      <w:r>
        <w:rPr>
          <w:rFonts w:hint="eastAsia" w:ascii="宋体" w:hAnsi="宋体"/>
          <w:b/>
          <w:bCs/>
          <w:szCs w:val="21"/>
        </w:rPr>
        <w:t>.7.1注册信息申诉处理</w:t>
      </w:r>
    </w:p>
    <w:p>
      <w:pPr>
        <w:spacing w:line="360" w:lineRule="auto"/>
        <w:ind w:firstLine="420" w:firstLineChars="200"/>
        <w:rPr>
          <w:rFonts w:hint="eastAsia" w:ascii="宋体" w:hAnsi="宋体"/>
          <w:szCs w:val="21"/>
        </w:rPr>
      </w:pPr>
      <w:r>
        <w:rPr>
          <w:rFonts w:hint="eastAsia" w:ascii="宋体" w:hAnsi="宋体"/>
          <w:szCs w:val="21"/>
        </w:rPr>
        <w:t>注册信息丢失，需要申诉找回考的登录ID和密码。</w:t>
      </w:r>
    </w:p>
    <w:p>
      <w:pPr>
        <w:rPr>
          <w:rFonts w:hint="eastAsia" w:ascii="宋体" w:hAnsi="宋体"/>
          <w:szCs w:val="21"/>
        </w:rPr>
      </w:pPr>
      <w:r>
        <w:rPr>
          <w:rFonts w:hint="eastAsia" w:ascii="宋体" w:hAnsi="宋体"/>
          <w:szCs w:val="21"/>
        </w:rPr>
        <w:drawing>
          <wp:inline distT="0" distB="0" distL="114300" distR="114300">
            <wp:extent cx="5142230" cy="1494155"/>
            <wp:effectExtent l="0" t="0" r="1270" b="10795"/>
            <wp:docPr id="16" name="图片 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0"/>
                    <pic:cNvPicPr>
                      <a:picLocks noChangeAspect="1"/>
                    </pic:cNvPicPr>
                  </pic:nvPicPr>
                  <pic:blipFill>
                    <a:blip r:embed="rId25"/>
                    <a:stretch>
                      <a:fillRect/>
                    </a:stretch>
                  </pic:blipFill>
                  <pic:spPr>
                    <a:xfrm>
                      <a:off x="0" y="0"/>
                      <a:ext cx="5142230" cy="1494155"/>
                    </a:xfrm>
                    <a:prstGeom prst="rect">
                      <a:avLst/>
                    </a:prstGeom>
                    <a:noFill/>
                    <a:ln w="9525">
                      <a:noFill/>
                    </a:ln>
                  </pic:spPr>
                </pic:pic>
              </a:graphicData>
            </a:graphic>
          </wp:inline>
        </w:drawing>
      </w:r>
    </w:p>
    <w:p>
      <w:pPr>
        <w:spacing w:line="360" w:lineRule="auto"/>
        <w:ind w:firstLine="420" w:firstLineChars="200"/>
        <w:jc w:val="center"/>
        <w:rPr>
          <w:rFonts w:hint="eastAsia" w:ascii="宋体" w:hAnsi="宋体"/>
          <w:szCs w:val="21"/>
        </w:rPr>
      </w:pPr>
      <w:r>
        <w:rPr>
          <w:rFonts w:hint="eastAsia" w:ascii="宋体" w:hAnsi="宋体"/>
          <w:szCs w:val="21"/>
        </w:rPr>
        <w:t>图16 注册信息关联处理</w:t>
      </w:r>
    </w:p>
    <w:p>
      <w:pPr>
        <w:spacing w:line="360" w:lineRule="auto"/>
        <w:outlineLvl w:val="3"/>
        <w:rPr>
          <w:rFonts w:hint="eastAsia" w:ascii="宋体" w:hAnsi="宋体"/>
          <w:b/>
          <w:bCs/>
          <w:szCs w:val="21"/>
        </w:rPr>
      </w:pPr>
      <w:r>
        <w:rPr>
          <w:rFonts w:hint="eastAsia" w:ascii="宋体" w:hAnsi="宋体"/>
          <w:b/>
          <w:bCs/>
          <w:szCs w:val="21"/>
        </w:rPr>
        <w:t>1.7.2注册信息查看</w:t>
      </w:r>
    </w:p>
    <w:p>
      <w:pPr>
        <w:rPr>
          <w:rFonts w:hint="eastAsia" w:ascii="宋体" w:hAnsi="宋体"/>
          <w:szCs w:val="21"/>
        </w:rPr>
      </w:pPr>
      <w:r>
        <w:rPr>
          <w:rFonts w:hint="eastAsia" w:ascii="宋体" w:hAnsi="宋体"/>
          <w:szCs w:val="21"/>
        </w:rPr>
        <w:t>注册信息查看能查看到考生注册时的用户名（登录ID)和密码。如图：</w:t>
      </w:r>
    </w:p>
    <w:p>
      <w:pPr>
        <w:rPr>
          <w:rFonts w:hint="eastAsia" w:ascii="宋体" w:hAnsi="宋体"/>
          <w:szCs w:val="21"/>
        </w:rPr>
      </w:pPr>
      <w:r>
        <w:rPr>
          <w:rFonts w:hint="eastAsia" w:ascii="宋体" w:hAnsi="宋体"/>
          <w:szCs w:val="21"/>
        </w:rPr>
        <w:drawing>
          <wp:inline distT="0" distB="0" distL="114300" distR="114300">
            <wp:extent cx="5181600" cy="1548130"/>
            <wp:effectExtent l="0" t="0" r="0" b="13970"/>
            <wp:docPr id="17" name="图片 11" descr="注册信息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注册信息查看"/>
                    <pic:cNvPicPr>
                      <a:picLocks noChangeAspect="1"/>
                    </pic:cNvPicPr>
                  </pic:nvPicPr>
                  <pic:blipFill>
                    <a:blip r:embed="rId26"/>
                    <a:stretch>
                      <a:fillRect/>
                    </a:stretch>
                  </pic:blipFill>
                  <pic:spPr>
                    <a:xfrm>
                      <a:off x="0" y="0"/>
                      <a:ext cx="5181600" cy="1548130"/>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 xml:space="preserve"> 图17 注册信息查看</w:t>
      </w:r>
    </w:p>
    <w:p>
      <w:pPr>
        <w:pStyle w:val="3"/>
        <w:spacing w:before="120" w:after="120" w:line="360" w:lineRule="auto"/>
        <w:rPr>
          <w:rFonts w:hint="eastAsia" w:ascii="宋体" w:hAnsi="宋体" w:eastAsia="宋体"/>
          <w:b w:val="0"/>
          <w:bCs w:val="0"/>
          <w:sz w:val="21"/>
          <w:szCs w:val="21"/>
        </w:rPr>
      </w:pPr>
      <w:bookmarkStart w:id="82" w:name="_Toc535574120"/>
      <w:r>
        <w:rPr>
          <w:rFonts w:hint="eastAsia" w:ascii="宋体" w:hAnsi="宋体" w:eastAsia="宋体"/>
          <w:sz w:val="21"/>
          <w:szCs w:val="21"/>
        </w:rPr>
        <w:t>二、常见问题解答（QA）</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2"/>
    </w:p>
    <w:p>
      <w:pPr>
        <w:spacing w:before="100" w:beforeAutospacing="1" w:after="100" w:afterAutospacing="1" w:line="360" w:lineRule="auto"/>
        <w:rPr>
          <w:rFonts w:hint="eastAsia" w:ascii="宋体" w:hAnsi="宋体"/>
          <w:b/>
          <w:szCs w:val="21"/>
        </w:rPr>
      </w:pPr>
      <w:r>
        <w:rPr>
          <w:rFonts w:hint="eastAsia" w:ascii="宋体" w:hAnsi="宋体"/>
          <w:b/>
          <w:szCs w:val="21"/>
        </w:rPr>
        <w:t>个人注册常见问题</w:t>
      </w:r>
    </w:p>
    <w:p>
      <w:pPr>
        <w:spacing w:line="360" w:lineRule="auto"/>
        <w:rPr>
          <w:rFonts w:hint="eastAsia" w:ascii="宋体" w:hAnsi="宋体"/>
          <w:szCs w:val="21"/>
        </w:rPr>
      </w:pPr>
      <w:r>
        <w:rPr>
          <w:rFonts w:hint="eastAsia" w:ascii="宋体" w:hAnsi="宋体"/>
          <w:szCs w:val="21"/>
        </w:rPr>
        <w:t>Q：在进行统考考生个人信息管理系统用户名注册时，已经注册成功了，在关联基本信息时却出现下图提示，该怎么解决？</w:t>
      </w:r>
    </w:p>
    <w:p>
      <w:pPr>
        <w:spacing w:line="360" w:lineRule="auto"/>
        <w:ind w:firstLine="359" w:firstLineChars="171"/>
        <w:rPr>
          <w:rFonts w:hint="eastAsia" w:ascii="宋体" w:hAnsi="宋体"/>
          <w:szCs w:val="21"/>
        </w:rPr>
      </w:pPr>
      <w:r>
        <w:rPr>
          <w:rFonts w:hint="eastAsia" w:ascii="宋体" w:hAnsi="宋体"/>
          <w:szCs w:val="21"/>
        </w:rPr>
        <w:drawing>
          <wp:inline distT="0" distB="0" distL="114300" distR="114300">
            <wp:extent cx="3248660" cy="833120"/>
            <wp:effectExtent l="0" t="0" r="8890" b="50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7"/>
                    <a:stretch>
                      <a:fillRect/>
                    </a:stretch>
                  </pic:blipFill>
                  <pic:spPr>
                    <a:xfrm>
                      <a:off x="0" y="0"/>
                      <a:ext cx="3248660" cy="833120"/>
                    </a:xfrm>
                    <a:prstGeom prst="rect">
                      <a:avLst/>
                    </a:prstGeom>
                    <a:noFill/>
                    <a:ln w="9525">
                      <a:noFill/>
                    </a:ln>
                  </pic:spPr>
                </pic:pic>
              </a:graphicData>
            </a:graphic>
          </wp:inline>
        </w:drawing>
      </w:r>
    </w:p>
    <w:p>
      <w:pPr>
        <w:spacing w:after="156" w:afterLines="50" w:line="360" w:lineRule="auto"/>
        <w:rPr>
          <w:rFonts w:hint="eastAsia" w:ascii="宋体" w:hAnsi="宋体"/>
          <w:szCs w:val="21"/>
        </w:rPr>
      </w:pPr>
      <w:r>
        <w:rPr>
          <w:rFonts w:hint="eastAsia" w:ascii="宋体" w:hAnsi="宋体"/>
          <w:szCs w:val="21"/>
        </w:rPr>
        <w:t>A：考生可以点击“确定”后，填写并提交关联申诉信息，提交给网院或学习中心来处理，网院删除关联申诉后可以重新注册。</w:t>
      </w:r>
    </w:p>
    <w:p>
      <w:pPr>
        <w:spacing w:line="360" w:lineRule="auto"/>
        <w:rPr>
          <w:rFonts w:hint="eastAsia" w:ascii="宋体" w:hAnsi="宋体"/>
          <w:szCs w:val="21"/>
        </w:rPr>
      </w:pPr>
      <w:r>
        <w:rPr>
          <w:rFonts w:hint="eastAsia" w:ascii="宋体" w:hAnsi="宋体"/>
          <w:szCs w:val="21"/>
        </w:rPr>
        <w:t>Q：登录统考考生个人信息管理系统的登录账号忘了该怎么办？</w:t>
      </w:r>
    </w:p>
    <w:p>
      <w:pPr>
        <w:spacing w:line="360" w:lineRule="auto"/>
        <w:rPr>
          <w:rFonts w:hint="eastAsia" w:ascii="宋体" w:hAnsi="宋体"/>
          <w:szCs w:val="21"/>
        </w:rPr>
      </w:pPr>
      <w:r>
        <w:rPr>
          <w:rFonts w:hint="eastAsia" w:ascii="宋体" w:hAnsi="宋体"/>
          <w:szCs w:val="21"/>
        </w:rPr>
        <w:t>A：与网院联系，凭有效证件或学号查询登录账号。</w:t>
      </w:r>
    </w:p>
    <w:p>
      <w:pPr>
        <w:numPr>
          <w:ilvl w:val="0"/>
          <w:numId w:val="1"/>
        </w:numPr>
        <w:spacing w:before="100" w:beforeAutospacing="1" w:after="100" w:afterAutospacing="1" w:line="360" w:lineRule="auto"/>
        <w:rPr>
          <w:rFonts w:hint="eastAsia" w:ascii="宋体" w:hAnsi="宋体"/>
          <w:b/>
          <w:szCs w:val="21"/>
        </w:rPr>
      </w:pPr>
      <w:r>
        <w:rPr>
          <w:rFonts w:hint="eastAsia" w:ascii="宋体" w:hAnsi="宋体"/>
          <w:b/>
          <w:szCs w:val="21"/>
        </w:rPr>
        <w:t>报考管理常见问题</w:t>
      </w:r>
    </w:p>
    <w:p>
      <w:pPr>
        <w:spacing w:line="360" w:lineRule="auto"/>
        <w:rPr>
          <w:rFonts w:hint="eastAsia" w:ascii="宋体" w:hAnsi="宋体"/>
          <w:szCs w:val="21"/>
        </w:rPr>
      </w:pPr>
      <w:r>
        <w:rPr>
          <w:rFonts w:hint="eastAsia" w:ascii="宋体" w:hAnsi="宋体"/>
          <w:szCs w:val="21"/>
        </w:rPr>
        <w:t>Q：我已经缴过费了，现在发现有漏报的科目，还可以再进行报考吗？</w:t>
      </w:r>
    </w:p>
    <w:p>
      <w:pPr>
        <w:spacing w:line="360" w:lineRule="auto"/>
        <w:rPr>
          <w:rFonts w:hint="eastAsia" w:ascii="宋体" w:hAnsi="宋体"/>
          <w:szCs w:val="21"/>
        </w:rPr>
      </w:pPr>
      <w:r>
        <w:rPr>
          <w:rFonts w:hint="eastAsia" w:ascii="宋体" w:hAnsi="宋体"/>
          <w:szCs w:val="21"/>
        </w:rPr>
        <w:t>A：可以的。流程与正常报考一样，参看考生报考</w:t>
      </w:r>
    </w:p>
    <w:p>
      <w:pPr>
        <w:spacing w:line="360" w:lineRule="auto"/>
        <w:rPr>
          <w:rFonts w:hint="eastAsia" w:ascii="宋体" w:hAnsi="宋体"/>
          <w:szCs w:val="21"/>
        </w:rPr>
      </w:pPr>
      <w:r>
        <w:rPr>
          <w:rFonts w:hint="eastAsia" w:ascii="宋体" w:hAnsi="宋体"/>
          <w:szCs w:val="21"/>
        </w:rPr>
        <w:t>Q：报考科目的添加不能进行是什么原因？</w:t>
      </w:r>
    </w:p>
    <w:p>
      <w:pPr>
        <w:spacing w:line="360" w:lineRule="auto"/>
        <w:rPr>
          <w:rFonts w:hint="eastAsia" w:ascii="宋体" w:hAnsi="宋体"/>
          <w:szCs w:val="21"/>
        </w:rPr>
      </w:pPr>
      <w:r>
        <w:rPr>
          <w:rFonts w:hint="eastAsia" w:ascii="宋体" w:hAnsi="宋体"/>
          <w:szCs w:val="21"/>
        </w:rPr>
        <w:t>A：请确认你所报考的科目是否已经成绩合格了，或者该科目已经报考或已经免考了;对于互斥的科目（例如大学英语A和大学英语B）不能同时报考;考生已免考或已考试合格的科目(包括已考试合格的互斥科目)不能报考;</w:t>
      </w:r>
    </w:p>
    <w:p>
      <w:pPr>
        <w:spacing w:line="360" w:lineRule="auto"/>
        <w:rPr>
          <w:rFonts w:hint="eastAsia" w:ascii="宋体" w:hAnsi="宋体"/>
          <w:b/>
          <w:color w:val="FF0000"/>
          <w:szCs w:val="21"/>
        </w:rPr>
      </w:pPr>
      <w:r>
        <w:rPr>
          <w:rFonts w:hint="eastAsia" w:ascii="宋体" w:hAnsi="宋体"/>
          <w:b/>
          <w:color w:val="FF0000"/>
          <w:szCs w:val="21"/>
        </w:rPr>
        <w:t>Q:对于互斥的科目，例如大学英语B已合格，但需报考大学英语A或大学语文B合格，但需报考高等数学B科目的考生，需要考生联系学习中心提交相关信息进行特殊报考。</w:t>
      </w:r>
    </w:p>
    <w:p>
      <w:pPr>
        <w:spacing w:line="360" w:lineRule="auto"/>
        <w:rPr>
          <w:rFonts w:hint="eastAsia" w:ascii="宋体" w:hAnsi="宋体"/>
          <w:b/>
          <w:color w:val="FF0000"/>
          <w:szCs w:val="21"/>
        </w:rPr>
      </w:pPr>
      <w:r>
        <w:rPr>
          <w:rFonts w:hint="eastAsia" w:ascii="宋体" w:hAnsi="宋体"/>
          <w:b/>
          <w:color w:val="FF0000"/>
          <w:szCs w:val="21"/>
        </w:rPr>
        <w:t>A: 学习中心将考生的姓名、学号、身份证号、报考科目、报考考点及相关说明等详细信息盖学校公章，提交到技术群，我们技术人员会及时进行处理，处理完成后，请老师通知考生10分钟后进行缴费即可。提交如下申请报告：</w:t>
      </w:r>
    </w:p>
    <w:p>
      <w:pPr>
        <w:autoSpaceDE w:val="0"/>
        <w:autoSpaceDN w:val="0"/>
        <w:adjustRightInd w:val="0"/>
        <w:spacing w:line="360" w:lineRule="auto"/>
        <w:jc w:val="left"/>
        <w:rPr>
          <w:rFonts w:hint="eastAsia" w:ascii="宋体" w:hAnsi="宋体"/>
          <w:b/>
          <w:color w:val="FF0000"/>
          <w:szCs w:val="21"/>
        </w:rPr>
      </w:pPr>
      <w:r>
        <w:drawing>
          <wp:inline distT="0" distB="0" distL="114300" distR="114300">
            <wp:extent cx="5182870" cy="3393440"/>
            <wp:effectExtent l="0" t="0" r="17780" b="165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8"/>
                    <a:stretch>
                      <a:fillRect/>
                    </a:stretch>
                  </pic:blipFill>
                  <pic:spPr>
                    <a:xfrm>
                      <a:off x="0" y="0"/>
                      <a:ext cx="5182870" cy="3393440"/>
                    </a:xfrm>
                    <a:prstGeom prst="rect">
                      <a:avLst/>
                    </a:prstGeom>
                    <a:noFill/>
                    <a:ln w="9525">
                      <a:noFill/>
                    </a:ln>
                  </pic:spPr>
                </pic:pic>
              </a:graphicData>
            </a:graphic>
          </wp:inline>
        </w:drawing>
      </w:r>
    </w:p>
    <w:p>
      <w:pPr>
        <w:numPr>
          <w:ilvl w:val="0"/>
          <w:numId w:val="1"/>
        </w:numPr>
        <w:spacing w:before="100" w:beforeAutospacing="1" w:after="100" w:afterAutospacing="1" w:line="360" w:lineRule="auto"/>
        <w:rPr>
          <w:rFonts w:hint="eastAsia" w:ascii="宋体" w:hAnsi="宋体"/>
          <w:b/>
          <w:szCs w:val="21"/>
        </w:rPr>
      </w:pPr>
      <w:r>
        <w:rPr>
          <w:rFonts w:hint="eastAsia" w:ascii="宋体" w:hAnsi="宋体"/>
          <w:b/>
          <w:szCs w:val="21"/>
        </w:rPr>
        <w:t>缴费管理常见问题</w:t>
      </w:r>
    </w:p>
    <w:p>
      <w:pPr>
        <w:spacing w:line="360" w:lineRule="auto"/>
        <w:rPr>
          <w:rFonts w:hint="eastAsia" w:ascii="宋体" w:hAnsi="宋体"/>
          <w:szCs w:val="21"/>
        </w:rPr>
      </w:pPr>
      <w:r>
        <w:rPr>
          <w:rFonts w:hint="eastAsia" w:ascii="宋体" w:hAnsi="宋体"/>
          <w:szCs w:val="21"/>
        </w:rPr>
        <w:t>Q：网上缴费能否保证安全，担心缴费后收不到费用？</w:t>
      </w:r>
    </w:p>
    <w:p>
      <w:pPr>
        <w:spacing w:after="156" w:afterLines="50" w:line="360" w:lineRule="auto"/>
        <w:rPr>
          <w:rFonts w:hint="eastAsia" w:ascii="宋体" w:hAnsi="宋体"/>
          <w:b/>
          <w:szCs w:val="21"/>
        </w:rPr>
      </w:pPr>
      <w:r>
        <w:rPr>
          <w:rFonts w:hint="eastAsia" w:ascii="宋体" w:hAnsi="宋体"/>
          <w:szCs w:val="21"/>
        </w:rPr>
        <w:t>A：网上缴费是很安全的，只要缴费成功了，可以直接通过网上银行查询交易记录。</w:t>
      </w:r>
      <w:r>
        <w:rPr>
          <w:rFonts w:hint="eastAsia" w:ascii="宋体" w:hAnsi="宋体"/>
          <w:b/>
          <w:szCs w:val="21"/>
        </w:rPr>
        <w:t xml:space="preserve"> </w:t>
      </w:r>
    </w:p>
    <w:p>
      <w:pPr>
        <w:spacing w:line="360" w:lineRule="auto"/>
        <w:rPr>
          <w:rFonts w:hint="eastAsia" w:ascii="宋体" w:hAnsi="宋体" w:cs="宋体"/>
          <w:kern w:val="0"/>
          <w:szCs w:val="21"/>
          <w:lang w:val="zh-CN"/>
        </w:rPr>
      </w:pPr>
      <w:r>
        <w:rPr>
          <w:rFonts w:hint="eastAsia" w:ascii="宋体" w:hAnsi="宋体"/>
          <w:szCs w:val="21"/>
        </w:rPr>
        <w:t>Q：</w:t>
      </w:r>
      <w:r>
        <w:rPr>
          <w:rFonts w:hint="eastAsia" w:ascii="宋体" w:hAnsi="宋体" w:cs="宋体"/>
          <w:kern w:val="0"/>
          <w:szCs w:val="21"/>
          <w:lang w:val="zh-CN"/>
        </w:rPr>
        <w:t>网上缴费收取手续费吗？</w:t>
      </w:r>
    </w:p>
    <w:p>
      <w:pPr>
        <w:spacing w:after="156" w:afterLines="50" w:line="360" w:lineRule="auto"/>
        <w:rPr>
          <w:rFonts w:hint="eastAsia" w:ascii="宋体" w:hAnsi="宋体"/>
          <w:szCs w:val="21"/>
        </w:rPr>
      </w:pPr>
      <w:r>
        <w:rPr>
          <w:rFonts w:hint="eastAsia" w:ascii="宋体" w:hAnsi="宋体"/>
          <w:szCs w:val="21"/>
        </w:rPr>
        <w:t>A：为了尽量不给考生增加负担，网上支付是不收取任何手续费的。</w:t>
      </w:r>
    </w:p>
    <w:p>
      <w:pPr>
        <w:pStyle w:val="19"/>
        <w:spacing w:before="0" w:beforeAutospacing="0" w:after="0" w:afterAutospacing="0" w:line="360" w:lineRule="auto"/>
        <w:rPr>
          <w:sz w:val="21"/>
          <w:szCs w:val="21"/>
        </w:rPr>
      </w:pPr>
      <w:r>
        <w:rPr>
          <w:rFonts w:hint="eastAsia"/>
          <w:sz w:val="21"/>
          <w:szCs w:val="21"/>
        </w:rPr>
        <w:t>Q：</w:t>
      </w:r>
      <w:r>
        <w:rPr>
          <w:rStyle w:val="32"/>
          <w:rFonts w:hint="eastAsia"/>
          <w:bCs/>
          <w:sz w:val="21"/>
          <w:szCs w:val="21"/>
        </w:rPr>
        <w:t>查询银行卡上钱已扣除，但缴费状态仍是“未缴费”，</w:t>
      </w:r>
      <w:r>
        <w:rPr>
          <w:rStyle w:val="32"/>
          <w:bCs/>
          <w:sz w:val="21"/>
          <w:szCs w:val="21"/>
        </w:rPr>
        <w:t>请问怎么办？</w:t>
      </w:r>
    </w:p>
    <w:p>
      <w:pPr>
        <w:pStyle w:val="19"/>
        <w:spacing w:before="0" w:beforeAutospacing="0" w:after="156" w:afterLines="50" w:afterAutospacing="0" w:line="360" w:lineRule="auto"/>
        <w:rPr>
          <w:rStyle w:val="31"/>
          <w:rFonts w:hint="eastAsia"/>
          <w:kern w:val="2"/>
          <w:sz w:val="21"/>
          <w:szCs w:val="21"/>
        </w:rPr>
      </w:pPr>
      <w:r>
        <w:rPr>
          <w:rFonts w:hint="eastAsia"/>
          <w:sz w:val="21"/>
          <w:szCs w:val="21"/>
        </w:rPr>
        <w:t>A：</w:t>
      </w:r>
      <w:r>
        <w:rPr>
          <w:rStyle w:val="31"/>
          <w:rFonts w:hint="eastAsia"/>
          <w:kern w:val="2"/>
          <w:sz w:val="21"/>
          <w:szCs w:val="21"/>
        </w:rPr>
        <w:t>建议重新进行缴费，多扣的费用银行会在一周内退还到原银行卡中。</w:t>
      </w:r>
      <w:bookmarkStart w:id="83" w:name="_Toc155090946"/>
      <w:bookmarkStart w:id="84" w:name="_Toc187142145"/>
      <w:bookmarkStart w:id="85" w:name="_Toc187142471"/>
      <w:bookmarkStart w:id="86" w:name="_Toc187142525"/>
      <w:bookmarkStart w:id="87" w:name="_Toc187142725"/>
      <w:bookmarkStart w:id="88" w:name="_Toc222801063"/>
    </w:p>
    <w:p>
      <w:pPr>
        <w:pStyle w:val="19"/>
        <w:spacing w:before="0" w:beforeAutospacing="0" w:after="156" w:afterLines="50" w:afterAutospacing="0" w:line="360" w:lineRule="auto"/>
        <w:rPr>
          <w:rFonts w:hint="eastAsia"/>
          <w:b/>
        </w:rPr>
      </w:pPr>
      <w:r>
        <w:rPr>
          <w:rFonts w:hint="eastAsia"/>
          <w:sz w:val="21"/>
          <w:szCs w:val="21"/>
        </w:rPr>
        <w:t>附录：安全用卡指南</w:t>
      </w:r>
      <w:bookmarkEnd w:id="83"/>
      <w:bookmarkEnd w:id="84"/>
      <w:bookmarkEnd w:id="85"/>
      <w:bookmarkEnd w:id="86"/>
      <w:bookmarkEnd w:id="87"/>
      <w:bookmarkEnd w:id="88"/>
    </w:p>
    <w:p>
      <w:pPr>
        <w:spacing w:line="360" w:lineRule="auto"/>
        <w:rPr>
          <w:rFonts w:hint="eastAsia"/>
          <w:b/>
        </w:rPr>
      </w:pPr>
      <w:r>
        <w:rPr>
          <w:rFonts w:hint="eastAsia"/>
          <w:b/>
        </w:rPr>
        <w:t>1、ATM安全操作六招数：</w:t>
      </w:r>
    </w:p>
    <w:p>
      <w:pPr>
        <w:spacing w:line="360" w:lineRule="auto"/>
        <w:rPr>
          <w:rFonts w:hint="eastAsia"/>
        </w:rPr>
      </w:pPr>
      <w:r>
        <w:rPr>
          <w:rFonts w:hint="eastAsia"/>
        </w:rPr>
        <w:t>招一：在ATM上查询、取款时，要留意ATM上是否有多余的装置或摄像头；输入密码时应尽量快速并用身体遮挡操作手势，以防不法分子窥视。</w:t>
      </w:r>
    </w:p>
    <w:p>
      <w:pPr>
        <w:spacing w:line="360" w:lineRule="auto"/>
        <w:rPr>
          <w:rFonts w:hint="eastAsia"/>
        </w:rPr>
      </w:pPr>
      <w:r>
        <w:rPr>
          <w:rFonts w:hint="eastAsia"/>
        </w:rPr>
        <w:t>招二：不要向他人透露您的密码；也不要设定简单数字排列（如888888）或本人生日日期作为密码；刷卡进入自助银行的门禁无需输入密码。</w:t>
      </w:r>
    </w:p>
    <w:p>
      <w:pPr>
        <w:spacing w:line="360" w:lineRule="auto"/>
        <w:rPr>
          <w:rFonts w:hint="eastAsia"/>
        </w:rPr>
      </w:pPr>
      <w:r>
        <w:rPr>
          <w:rFonts w:hint="eastAsia"/>
        </w:rPr>
        <w:t>招三：选择打印ATM交易单据后，不要将它们随手丢弃，应妥善保管或及时处理、销毁单据。</w:t>
      </w:r>
    </w:p>
    <w:p>
      <w:pPr>
        <w:spacing w:line="360" w:lineRule="auto"/>
        <w:rPr>
          <w:rFonts w:hint="eastAsia"/>
        </w:rPr>
      </w:pPr>
      <w:r>
        <w:rPr>
          <w:rFonts w:hint="eastAsia"/>
        </w:rPr>
        <w:t>招四：操作ATM时，如果出现机器吞卡或不吐钞故障，不要轻易离开，可在原地及时拨打ATM屏幕上显示的银行服务电话或直接拨打银行的客户服务热线进行求助。</w:t>
      </w:r>
    </w:p>
    <w:p>
      <w:pPr>
        <w:spacing w:line="360" w:lineRule="auto"/>
        <w:rPr>
          <w:rFonts w:hint="eastAsia"/>
        </w:rPr>
      </w:pPr>
      <w:r>
        <w:rPr>
          <w:rFonts w:hint="eastAsia"/>
        </w:rPr>
        <w:t xml:space="preserve">招五：认真识别银行公告，千万不要相信要求客户将钱转到指定账户的公告，发现此类公告应尽快向银行和公安机关举报。 </w:t>
      </w:r>
    </w:p>
    <w:p>
      <w:pPr>
        <w:spacing w:line="360" w:lineRule="auto"/>
        <w:rPr>
          <w:rFonts w:hint="eastAsia"/>
        </w:rPr>
      </w:pPr>
      <w:r>
        <w:rPr>
          <w:rFonts w:hint="eastAsia"/>
        </w:rPr>
        <w:t>招六：警惕银行卡短信诈骗。收到可疑手机短信时，应谨慎确认，如有疑问应直接拨打发卡银行客户服务热线进行查询，不要拨打短信中的联系电话。</w:t>
      </w:r>
    </w:p>
    <w:p>
      <w:pPr>
        <w:spacing w:line="360" w:lineRule="auto"/>
        <w:rPr>
          <w:rFonts w:hint="eastAsia"/>
        </w:rPr>
      </w:pPr>
    </w:p>
    <w:p>
      <w:pPr>
        <w:spacing w:line="360" w:lineRule="auto"/>
        <w:rPr>
          <w:rFonts w:hint="eastAsia"/>
          <w:b/>
        </w:rPr>
      </w:pPr>
      <w:r>
        <w:rPr>
          <w:rFonts w:hint="eastAsia"/>
          <w:b/>
        </w:rPr>
        <w:t>2、安全刷卡消费五招数</w:t>
      </w:r>
    </w:p>
    <w:p>
      <w:pPr>
        <w:spacing w:line="360" w:lineRule="auto"/>
        <w:rPr>
          <w:rFonts w:hint="eastAsia"/>
        </w:rPr>
      </w:pPr>
      <w:r>
        <w:rPr>
          <w:rFonts w:hint="eastAsia"/>
        </w:rPr>
        <w:t>招一： 申请到银行卡后，务必在卡背面签名。在商场刷卡消费时，不要让银行卡离开视线范围，留意收银员的刷卡次数。</w:t>
      </w:r>
    </w:p>
    <w:p>
      <w:pPr>
        <w:spacing w:line="360" w:lineRule="auto"/>
        <w:rPr>
          <w:rFonts w:hint="eastAsia"/>
        </w:rPr>
      </w:pPr>
      <w:r>
        <w:rPr>
          <w:rFonts w:hint="eastAsia"/>
        </w:rPr>
        <w:t>招二：在商场刷卡消费输入密码时，应尽可能用身体或另一只手遮挡操作手势，以防不法分子窥视。</w:t>
      </w:r>
    </w:p>
    <w:p>
      <w:pPr>
        <w:spacing w:line="360" w:lineRule="auto"/>
        <w:rPr>
          <w:rFonts w:hint="eastAsia"/>
        </w:rPr>
      </w:pPr>
      <w:r>
        <w:rPr>
          <w:rFonts w:hint="eastAsia"/>
        </w:rPr>
        <w:t>招三：拿到收银员交回的签购单及卡片时，应认真核对签购单上的金额是否正确，卡片是否确为本人的卡片。</w:t>
      </w:r>
    </w:p>
    <w:p>
      <w:pPr>
        <w:spacing w:line="360" w:lineRule="auto"/>
        <w:rPr>
          <w:rFonts w:hint="eastAsia"/>
        </w:rPr>
      </w:pPr>
      <w:r>
        <w:rPr>
          <w:rFonts w:hint="eastAsia"/>
        </w:rPr>
        <w:t>招四：刷卡消费时若发生异常情况，要妥善保管交易单据，如发生卡重复扣款等现象，可凭交易单据及对账单及时与发卡银行联系。</w:t>
      </w:r>
    </w:p>
    <w:p>
      <w:pPr>
        <w:spacing w:line="360" w:lineRule="auto"/>
        <w:rPr>
          <w:rFonts w:hint="eastAsia"/>
        </w:rPr>
      </w:pPr>
      <w:r>
        <w:rPr>
          <w:rFonts w:hint="eastAsia"/>
        </w:rPr>
        <w:t>招五：在收到银行卡对账单后应及时核对用卡情况，如有疑问，应及时拨打发卡银行客户服务热线查询。</w:t>
      </w:r>
    </w:p>
    <w:p>
      <w:pPr>
        <w:spacing w:line="360" w:lineRule="auto"/>
        <w:rPr>
          <w:rFonts w:hint="eastAsia"/>
        </w:rPr>
      </w:pPr>
    </w:p>
    <w:p>
      <w:pPr>
        <w:spacing w:line="360" w:lineRule="auto"/>
        <w:rPr>
          <w:rFonts w:hint="eastAsia"/>
          <w:b/>
        </w:rPr>
      </w:pPr>
      <w:r>
        <w:rPr>
          <w:rFonts w:hint="eastAsia"/>
          <w:b/>
        </w:rPr>
        <w:t>3、安全网上支付四大技巧</w:t>
      </w:r>
    </w:p>
    <w:p>
      <w:pPr>
        <w:spacing w:line="360" w:lineRule="auto"/>
        <w:rPr>
          <w:rFonts w:hint="eastAsia"/>
        </w:rPr>
      </w:pPr>
      <w:r>
        <w:rPr>
          <w:rFonts w:hint="eastAsia"/>
        </w:rPr>
        <w:t>技巧一：不要使用不明链接或电子邮件提供的银行网站；对以“异常账户活动”等理由，要求您提供银行卡卡号及密码的电子邮件或银行网站保持警惕。</w:t>
      </w:r>
    </w:p>
    <w:p>
      <w:pPr>
        <w:spacing w:line="360" w:lineRule="auto"/>
        <w:rPr>
          <w:rFonts w:hint="eastAsia"/>
        </w:rPr>
      </w:pPr>
      <w:r>
        <w:rPr>
          <w:rFonts w:hint="eastAsia"/>
        </w:rPr>
        <w:t>技巧二：不要在网吧等公共上网场所进行网上交易，防范卡号及密码等信息被他人盗取。</w:t>
      </w:r>
    </w:p>
    <w:p>
      <w:pPr>
        <w:spacing w:line="360" w:lineRule="auto"/>
        <w:rPr>
          <w:rFonts w:hint="eastAsia"/>
        </w:rPr>
      </w:pPr>
      <w:r>
        <w:rPr>
          <w:rFonts w:hint="eastAsia"/>
        </w:rPr>
        <w:t>技巧三：选择信誉好、运营时间长的网站进行银行卡网上支付业务，防范不法网上商户盗取卡号或其他个人资料。</w:t>
      </w:r>
    </w:p>
    <w:p>
      <w:pPr>
        <w:spacing w:line="360" w:lineRule="auto"/>
        <w:rPr>
          <w:rFonts w:hint="eastAsia"/>
        </w:rPr>
      </w:pPr>
      <w:r>
        <w:rPr>
          <w:rFonts w:hint="eastAsia"/>
        </w:rPr>
        <w:t>技巧四：保留网上消费的记录，以备查询；经常检查银行账户交易明细，发现不明支出款项，应立即联络发卡银行。</w:t>
      </w:r>
    </w:p>
    <w:p>
      <w:pPr>
        <w:spacing w:line="360" w:lineRule="auto"/>
        <w:rPr>
          <w:rFonts w:hint="eastAsia"/>
        </w:rPr>
      </w:pPr>
    </w:p>
    <w:p>
      <w:pPr>
        <w:spacing w:line="360" w:lineRule="auto"/>
        <w:rPr>
          <w:rFonts w:hint="eastAsia"/>
          <w:b/>
        </w:rPr>
      </w:pPr>
      <w:r>
        <w:rPr>
          <w:rFonts w:hint="eastAsia"/>
          <w:b/>
        </w:rPr>
        <w:t>4、善用个人信用五招数</w:t>
      </w:r>
    </w:p>
    <w:p>
      <w:pPr>
        <w:spacing w:line="360" w:lineRule="auto"/>
        <w:rPr>
          <w:rFonts w:hint="eastAsia"/>
        </w:rPr>
      </w:pPr>
      <w:r>
        <w:rPr>
          <w:rFonts w:hint="eastAsia"/>
        </w:rPr>
        <w:t xml:space="preserve">   招一：不可以恶意透支为目的，通过非法中介机构办理信用卡，更不能主动参与信用卡套现，以免对个人资信状况造成负面影响。</w:t>
      </w:r>
    </w:p>
    <w:p>
      <w:pPr>
        <w:spacing w:line="360" w:lineRule="auto"/>
        <w:rPr>
          <w:rFonts w:hint="eastAsia"/>
        </w:rPr>
      </w:pPr>
      <w:r>
        <w:rPr>
          <w:rFonts w:hint="eastAsia"/>
        </w:rPr>
        <w:t>招二：不要申请超过您所能负担的信用卡数量，应根据自己的经济能力进行信用卡消费，以免背上无法承担的债务。</w:t>
      </w:r>
    </w:p>
    <w:p>
      <w:pPr>
        <w:spacing w:line="360" w:lineRule="auto"/>
        <w:rPr>
          <w:rFonts w:hint="eastAsia"/>
        </w:rPr>
      </w:pPr>
      <w:r>
        <w:rPr>
          <w:rFonts w:hint="eastAsia"/>
        </w:rPr>
        <w:t>招三：在办理信用卡贷款或预借现金前，应先仔细评估所需支付的成本和利息，合理使用信用卡透支消费功能。</w:t>
      </w:r>
    </w:p>
    <w:p>
      <w:pPr>
        <w:spacing w:line="360" w:lineRule="auto"/>
        <w:rPr>
          <w:rFonts w:hint="eastAsia"/>
        </w:rPr>
      </w:pPr>
      <w:r>
        <w:rPr>
          <w:rFonts w:hint="eastAsia"/>
        </w:rPr>
        <w:t>招四：养成理性的付款习惯，按期归还信用卡透支款项，以免因延迟付款或付款不足而被列入银行不良信用记录名单，给个人信用带来负面影响。</w:t>
      </w:r>
    </w:p>
    <w:p>
      <w:pPr>
        <w:spacing w:line="360" w:lineRule="auto"/>
        <w:rPr>
          <w:rFonts w:hint="eastAsia"/>
        </w:rPr>
      </w:pPr>
      <w:r>
        <w:rPr>
          <w:rFonts w:hint="eastAsia"/>
        </w:rPr>
        <w:t>招五：及时核对账单数据的正确性。一有疑问，请立即向您的发卡银行询问。</w:t>
      </w:r>
    </w:p>
    <w:p>
      <w:pPr>
        <w:spacing w:line="360" w:lineRule="auto"/>
        <w:rPr>
          <w:rFonts w:hint="eastAsia"/>
        </w:rPr>
      </w:pPr>
    </w:p>
    <w:p>
      <w:pPr>
        <w:spacing w:line="360" w:lineRule="auto"/>
        <w:rPr>
          <w:rFonts w:hint="eastAsia"/>
          <w:b/>
        </w:rPr>
      </w:pPr>
      <w:r>
        <w:rPr>
          <w:rFonts w:hint="eastAsia"/>
          <w:b/>
        </w:rPr>
        <w:t>5、保护个人信息五招数</w:t>
      </w:r>
    </w:p>
    <w:p>
      <w:pPr>
        <w:spacing w:line="360" w:lineRule="auto"/>
        <w:rPr>
          <w:rFonts w:hint="eastAsia" w:cs="仿宋_GB2312"/>
        </w:rPr>
      </w:pPr>
      <w:r>
        <w:rPr>
          <w:rFonts w:hint="eastAsia" w:cs="仿宋_GB2312"/>
        </w:rPr>
        <w:t>招一：</w:t>
      </w:r>
      <w:r>
        <w:rPr>
          <w:rFonts w:hint="eastAsia" w:cs="宋体"/>
        </w:rPr>
        <w:t>为降</w:t>
      </w:r>
      <w:r>
        <w:rPr>
          <w:rFonts w:hint="eastAsia" w:cs="仿宋_GB2312"/>
        </w:rPr>
        <w:t>低</w:t>
      </w:r>
      <w:r>
        <w:rPr>
          <w:rFonts w:hint="eastAsia" w:cs="宋体"/>
        </w:rPr>
        <w:t>个</w:t>
      </w:r>
      <w:r>
        <w:rPr>
          <w:rFonts w:hint="eastAsia" w:cs="仿宋_GB2312"/>
        </w:rPr>
        <w:t>人</w:t>
      </w:r>
      <w:r>
        <w:rPr>
          <w:rFonts w:hint="eastAsia" w:cs="宋体"/>
        </w:rPr>
        <w:t>资</w:t>
      </w:r>
      <w:r>
        <w:rPr>
          <w:rFonts w:hint="eastAsia" w:cs="仿宋_GB2312"/>
        </w:rPr>
        <w:t>料被</w:t>
      </w:r>
      <w:r>
        <w:rPr>
          <w:rFonts w:hint="eastAsia" w:cs="宋体"/>
        </w:rPr>
        <w:t>盗</w:t>
      </w:r>
      <w:r>
        <w:rPr>
          <w:rFonts w:hint="eastAsia" w:cs="仿宋_GB2312"/>
        </w:rPr>
        <w:t>用的</w:t>
      </w:r>
      <w:r>
        <w:rPr>
          <w:rFonts w:hint="eastAsia" w:cs="宋体"/>
        </w:rPr>
        <w:t>风险</w:t>
      </w:r>
      <w:r>
        <w:rPr>
          <w:rFonts w:hint="eastAsia" w:cs="仿宋_GB2312"/>
        </w:rPr>
        <w:t>，请</w:t>
      </w:r>
      <w:r>
        <w:rPr>
          <w:rFonts w:hint="eastAsia"/>
        </w:rPr>
        <w:t>直接到银行柜台或经银行授权的正规营销机构办理信用卡申请手续，</w:t>
      </w:r>
      <w:r>
        <w:rPr>
          <w:rFonts w:hint="eastAsia" w:cs="宋体"/>
        </w:rPr>
        <w:t>不要</w:t>
      </w:r>
      <w:r>
        <w:rPr>
          <w:rFonts w:hint="eastAsia" w:cs="仿宋_GB2312"/>
        </w:rPr>
        <w:t>委</w:t>
      </w:r>
      <w:r>
        <w:rPr>
          <w:rFonts w:hint="eastAsia" w:cs="宋体"/>
        </w:rPr>
        <w:t>托</w:t>
      </w:r>
      <w:r>
        <w:rPr>
          <w:rFonts w:hint="eastAsia" w:cs="仿宋_GB2312"/>
        </w:rPr>
        <w:t>他人或非法中介机构代</w:t>
      </w:r>
      <w:r>
        <w:rPr>
          <w:rFonts w:hint="eastAsia" w:cs="宋体"/>
        </w:rPr>
        <w:t>办</w:t>
      </w:r>
      <w:r>
        <w:rPr>
          <w:rFonts w:hint="eastAsia" w:cs="仿宋_GB2312"/>
        </w:rPr>
        <w:t>信用卡。</w:t>
      </w:r>
    </w:p>
    <w:p>
      <w:pPr>
        <w:spacing w:line="360" w:lineRule="auto"/>
        <w:rPr>
          <w:rFonts w:hint="eastAsia" w:cs="仿宋_GB2312"/>
        </w:rPr>
      </w:pPr>
      <w:r>
        <w:rPr>
          <w:rFonts w:hint="eastAsia" w:cs="仿宋_GB2312"/>
        </w:rPr>
        <w:t>招二：提供</w:t>
      </w:r>
      <w:r>
        <w:rPr>
          <w:rFonts w:hint="eastAsia" w:cs="宋体"/>
        </w:rPr>
        <w:t>个</w:t>
      </w:r>
      <w:r>
        <w:rPr>
          <w:rFonts w:hint="eastAsia" w:cs="仿宋_GB2312"/>
        </w:rPr>
        <w:t>人身份</w:t>
      </w:r>
      <w:r>
        <w:rPr>
          <w:rFonts w:hint="eastAsia" w:cs="宋体"/>
        </w:rPr>
        <w:t>证</w:t>
      </w:r>
      <w:r>
        <w:rPr>
          <w:rFonts w:hint="eastAsia" w:cs="仿宋_GB2312"/>
        </w:rPr>
        <w:t>复印件申</w:t>
      </w:r>
      <w:r>
        <w:rPr>
          <w:rFonts w:hint="eastAsia" w:cs="宋体"/>
        </w:rPr>
        <w:t>办</w:t>
      </w:r>
      <w:r>
        <w:rPr>
          <w:rFonts w:hint="eastAsia" w:cs="仿宋_GB2312"/>
        </w:rPr>
        <w:t>信用卡</w:t>
      </w:r>
      <w:r>
        <w:rPr>
          <w:rFonts w:hint="eastAsia" w:cs="宋体"/>
        </w:rPr>
        <w:t>时</w:t>
      </w:r>
      <w:r>
        <w:rPr>
          <w:rFonts w:hint="eastAsia" w:cs="仿宋_GB2312"/>
        </w:rPr>
        <w:t>，建</w:t>
      </w:r>
      <w:r>
        <w:rPr>
          <w:rFonts w:hint="eastAsia" w:cs="宋体"/>
        </w:rPr>
        <w:t>议</w:t>
      </w:r>
      <w:r>
        <w:rPr>
          <w:rFonts w:hint="eastAsia" w:cs="仿宋_GB2312"/>
        </w:rPr>
        <w:t>在复印件上</w:t>
      </w:r>
      <w:r>
        <w:rPr>
          <w:rFonts w:hint="eastAsia" w:cs="宋体"/>
        </w:rPr>
        <w:t>注</w:t>
      </w:r>
      <w:r>
        <w:rPr>
          <w:rFonts w:hint="eastAsia" w:cs="仿宋_GB2312"/>
        </w:rPr>
        <w:t>明使用用途，例如：“</w:t>
      </w:r>
      <w:r>
        <w:rPr>
          <w:rFonts w:hint="eastAsia" w:cs="宋体"/>
        </w:rPr>
        <w:t>谨</w:t>
      </w:r>
      <w:r>
        <w:rPr>
          <w:rFonts w:hint="eastAsia" w:cs="仿宋_GB2312"/>
        </w:rPr>
        <w:t>供申</w:t>
      </w:r>
      <w:r>
        <w:rPr>
          <w:rFonts w:hint="eastAsia" w:cs="宋体"/>
        </w:rPr>
        <w:t>办</w:t>
      </w:r>
      <w:r>
        <w:rPr>
          <w:rFonts w:hint="eastAsia" w:cs="仿宋_GB2312"/>
        </w:rPr>
        <w:t>＊＊信用卡用”，以防止身份</w:t>
      </w:r>
      <w:r>
        <w:rPr>
          <w:rFonts w:hint="eastAsia" w:cs="宋体"/>
        </w:rPr>
        <w:t>证</w:t>
      </w:r>
      <w:r>
        <w:rPr>
          <w:rFonts w:hint="eastAsia" w:cs="仿宋_GB2312"/>
        </w:rPr>
        <w:t>复印件被移作他用。</w:t>
      </w:r>
    </w:p>
    <w:p>
      <w:pPr>
        <w:spacing w:line="360" w:lineRule="auto"/>
        <w:rPr>
          <w:rFonts w:hint="eastAsia" w:cs="仿宋_GB2312"/>
        </w:rPr>
      </w:pPr>
      <w:r>
        <w:rPr>
          <w:rFonts w:hint="eastAsia" w:cs="仿宋_GB2312"/>
        </w:rPr>
        <w:t>招三：接到自</w:t>
      </w:r>
      <w:r>
        <w:rPr>
          <w:rFonts w:hint="eastAsia" w:cs="宋体"/>
        </w:rPr>
        <w:t>称银</w:t>
      </w:r>
      <w:r>
        <w:rPr>
          <w:rFonts w:hint="eastAsia" w:cs="仿宋_GB2312"/>
        </w:rPr>
        <w:t>行人</w:t>
      </w:r>
      <w:r>
        <w:rPr>
          <w:rFonts w:hint="eastAsia" w:cs="宋体"/>
        </w:rPr>
        <w:t>员的电话</w:t>
      </w:r>
      <w:r>
        <w:rPr>
          <w:rFonts w:hint="eastAsia" w:cs="仿宋_GB2312"/>
        </w:rPr>
        <w:t>向您</w:t>
      </w:r>
      <w:r>
        <w:rPr>
          <w:rFonts w:hint="eastAsia" w:cs="宋体"/>
        </w:rPr>
        <w:t>询问有关信用卡卡号、银行账号及密码等个</w:t>
      </w:r>
      <w:r>
        <w:rPr>
          <w:rFonts w:hint="eastAsia" w:cs="仿宋_GB2312"/>
        </w:rPr>
        <w:t>人账户</w:t>
      </w:r>
      <w:r>
        <w:rPr>
          <w:rFonts w:hint="eastAsia" w:cs="宋体"/>
        </w:rPr>
        <w:t>资</w:t>
      </w:r>
      <w:r>
        <w:rPr>
          <w:rFonts w:hint="eastAsia" w:cs="仿宋_GB2312"/>
        </w:rPr>
        <w:t>料时，要提高警惕。</w:t>
      </w:r>
    </w:p>
    <w:p>
      <w:pPr>
        <w:spacing w:line="360" w:lineRule="auto"/>
        <w:rPr>
          <w:rFonts w:hint="eastAsia"/>
        </w:rPr>
      </w:pPr>
      <w:r>
        <w:rPr>
          <w:rFonts w:hint="eastAsia"/>
        </w:rPr>
        <w:t>招四：不要把您的身份证、信用卡转借给他人使用，更不要泄露自己银行卡的卡号及其有效期。</w:t>
      </w:r>
    </w:p>
    <w:p>
      <w:pPr>
        <w:spacing w:line="360" w:lineRule="auto"/>
        <w:rPr>
          <w:rFonts w:hint="eastAsia"/>
        </w:rPr>
      </w:pPr>
      <w:r>
        <w:rPr>
          <w:rFonts w:hint="eastAsia"/>
        </w:rPr>
        <w:t>招五：若发现非法中介或套现商户，请拨打发卡银行的电话或银联卡反欺诈服务中心热线95516*1予以举报，共同维护银行卡健康良好的发展环境。</w:t>
      </w:r>
    </w:p>
    <w:p>
      <w:pPr>
        <w:pStyle w:val="3"/>
        <w:spacing w:before="120" w:after="120" w:line="360" w:lineRule="auto"/>
        <w:rPr>
          <w:rFonts w:hint="eastAsia"/>
          <w:b w:val="0"/>
        </w:rPr>
      </w:pPr>
      <w:bookmarkStart w:id="89" w:name="_Toc535574121"/>
      <w:bookmarkStart w:id="90" w:name="_Toc380154699"/>
      <w:r>
        <w:rPr>
          <w:rFonts w:hint="eastAsia" w:ascii="宋体" w:hAnsi="宋体" w:eastAsia="宋体"/>
          <w:sz w:val="21"/>
          <w:szCs w:val="21"/>
        </w:rPr>
        <w:t>附录：安全用卡指南</w:t>
      </w:r>
      <w:bookmarkEnd w:id="89"/>
      <w:bookmarkEnd w:id="90"/>
    </w:p>
    <w:p>
      <w:pPr>
        <w:spacing w:line="360" w:lineRule="auto"/>
        <w:rPr>
          <w:rFonts w:hint="eastAsia"/>
          <w:b/>
        </w:rPr>
      </w:pPr>
      <w:r>
        <w:rPr>
          <w:rFonts w:hint="eastAsia"/>
          <w:b/>
        </w:rPr>
        <w:t>1、ATM安全操作六招数：</w:t>
      </w:r>
    </w:p>
    <w:p>
      <w:pPr>
        <w:spacing w:line="360" w:lineRule="auto"/>
        <w:rPr>
          <w:rFonts w:hint="eastAsia"/>
        </w:rPr>
      </w:pPr>
      <w:r>
        <w:rPr>
          <w:rFonts w:hint="eastAsia"/>
        </w:rPr>
        <w:t>招一：在ATM上查询、取款时，要留意ATM上是否有多余的装置或摄像头；输入密码时应尽量快速并用身体遮挡操作手势，以防不法分子窥视。</w:t>
      </w:r>
    </w:p>
    <w:p>
      <w:pPr>
        <w:spacing w:line="360" w:lineRule="auto"/>
        <w:rPr>
          <w:rFonts w:hint="eastAsia"/>
        </w:rPr>
      </w:pPr>
      <w:r>
        <w:rPr>
          <w:rFonts w:hint="eastAsia"/>
        </w:rPr>
        <w:t>招二：不要向他人透露您的密码；也不要设定简单数字排列（如888888）或本人生日日期作为密码；刷卡进入自助银行的门禁无需输入密码。</w:t>
      </w:r>
    </w:p>
    <w:p>
      <w:pPr>
        <w:spacing w:line="360" w:lineRule="auto"/>
        <w:rPr>
          <w:rFonts w:hint="eastAsia"/>
        </w:rPr>
      </w:pPr>
      <w:r>
        <w:rPr>
          <w:rFonts w:hint="eastAsia"/>
        </w:rPr>
        <w:t>招三：选择打印ATM交易单据后，不要将它们随手丢弃，应妥善保管或及时处理、销毁单据。</w:t>
      </w:r>
    </w:p>
    <w:p>
      <w:pPr>
        <w:spacing w:line="360" w:lineRule="auto"/>
        <w:rPr>
          <w:rFonts w:hint="eastAsia"/>
        </w:rPr>
      </w:pPr>
      <w:r>
        <w:rPr>
          <w:rFonts w:hint="eastAsia"/>
        </w:rPr>
        <w:t>招四：操作ATM时，如果出现机器吞卡或不吐钞故障，不要轻易离开，可在原地及时拨打ATM屏幕上显示的银行服务电话或直接拨打银行的客户服务热线进行求助。</w:t>
      </w:r>
    </w:p>
    <w:p>
      <w:pPr>
        <w:spacing w:line="360" w:lineRule="auto"/>
        <w:rPr>
          <w:rFonts w:hint="eastAsia"/>
        </w:rPr>
      </w:pPr>
      <w:r>
        <w:rPr>
          <w:rFonts w:hint="eastAsia"/>
        </w:rPr>
        <w:t xml:space="preserve">招五：认真识别银行公告，千万不要相信要求客户将钱转到指定账户的公告，发现此类公告应尽快向银行和公安机关举报。 </w:t>
      </w:r>
    </w:p>
    <w:p>
      <w:pPr>
        <w:spacing w:line="360" w:lineRule="auto"/>
        <w:rPr>
          <w:rFonts w:hint="eastAsia"/>
        </w:rPr>
      </w:pPr>
      <w:r>
        <w:rPr>
          <w:rFonts w:hint="eastAsia"/>
        </w:rPr>
        <w:t>招六：警惕银行卡短信诈骗。收到可疑手机短信时，应谨慎确认，如有疑问应直接拨打发卡银行客户服务热线进行查询，不要拨打短信中的联系电话。</w:t>
      </w:r>
    </w:p>
    <w:p>
      <w:pPr>
        <w:spacing w:line="360" w:lineRule="auto"/>
        <w:rPr>
          <w:rFonts w:hint="eastAsia"/>
        </w:rPr>
      </w:pPr>
    </w:p>
    <w:p>
      <w:pPr>
        <w:spacing w:line="360" w:lineRule="auto"/>
        <w:rPr>
          <w:rFonts w:hint="eastAsia"/>
          <w:b/>
        </w:rPr>
      </w:pPr>
      <w:r>
        <w:rPr>
          <w:rFonts w:hint="eastAsia"/>
          <w:b/>
        </w:rPr>
        <w:t>2、安全刷卡消费五招数</w:t>
      </w:r>
    </w:p>
    <w:p>
      <w:pPr>
        <w:spacing w:line="360" w:lineRule="auto"/>
        <w:rPr>
          <w:rFonts w:hint="eastAsia"/>
        </w:rPr>
      </w:pPr>
      <w:r>
        <w:rPr>
          <w:rFonts w:hint="eastAsia"/>
        </w:rPr>
        <w:t>招一： 申请到银行卡后，务必在卡背面签名。在商场刷卡消费时，不要让银行卡离开视线范围，留意收银员的刷卡次数。</w:t>
      </w:r>
    </w:p>
    <w:p>
      <w:pPr>
        <w:spacing w:line="360" w:lineRule="auto"/>
        <w:rPr>
          <w:rFonts w:hint="eastAsia"/>
        </w:rPr>
      </w:pPr>
      <w:r>
        <w:rPr>
          <w:rFonts w:hint="eastAsia"/>
        </w:rPr>
        <w:t>招二：在商场刷卡消费输入密码时，应尽可能用身体或另一只手遮挡操作手势，以防不法分子窥视。</w:t>
      </w:r>
    </w:p>
    <w:p>
      <w:pPr>
        <w:spacing w:line="360" w:lineRule="auto"/>
        <w:rPr>
          <w:rFonts w:hint="eastAsia"/>
        </w:rPr>
      </w:pPr>
      <w:r>
        <w:rPr>
          <w:rFonts w:hint="eastAsia"/>
        </w:rPr>
        <w:t>招三：拿到收银员交回的签购单及卡片时，应认真核对签购单上的金额是否正确，卡片是否确为本人的卡片。</w:t>
      </w:r>
    </w:p>
    <w:p>
      <w:pPr>
        <w:spacing w:line="360" w:lineRule="auto"/>
        <w:rPr>
          <w:rFonts w:hint="eastAsia"/>
        </w:rPr>
      </w:pPr>
      <w:r>
        <w:rPr>
          <w:rFonts w:hint="eastAsia"/>
        </w:rPr>
        <w:t>招四：刷卡消费时若发生异常情况，要妥善保管交易单据，如发生卡重复扣款等现象，可凭交易单据及对账单及时与发卡银行联系。</w:t>
      </w:r>
    </w:p>
    <w:p>
      <w:pPr>
        <w:spacing w:line="360" w:lineRule="auto"/>
        <w:rPr>
          <w:rFonts w:hint="eastAsia"/>
        </w:rPr>
      </w:pPr>
      <w:r>
        <w:rPr>
          <w:rFonts w:hint="eastAsia"/>
        </w:rPr>
        <w:t>招五：在收到银行卡对账单后应及时核对用卡情况，如有疑问，应及时拨打发卡银行客户服务热线查询。</w:t>
      </w:r>
    </w:p>
    <w:p>
      <w:pPr>
        <w:spacing w:line="360" w:lineRule="auto"/>
        <w:rPr>
          <w:rFonts w:hint="eastAsia"/>
        </w:rPr>
      </w:pPr>
    </w:p>
    <w:p>
      <w:pPr>
        <w:spacing w:line="360" w:lineRule="auto"/>
        <w:rPr>
          <w:rFonts w:hint="eastAsia"/>
          <w:b/>
        </w:rPr>
      </w:pPr>
      <w:r>
        <w:rPr>
          <w:rFonts w:hint="eastAsia"/>
          <w:b/>
        </w:rPr>
        <w:t>3、安全网上支付四大技巧</w:t>
      </w:r>
    </w:p>
    <w:p>
      <w:pPr>
        <w:spacing w:line="360" w:lineRule="auto"/>
        <w:rPr>
          <w:rFonts w:hint="eastAsia"/>
        </w:rPr>
      </w:pPr>
      <w:r>
        <w:rPr>
          <w:rFonts w:hint="eastAsia"/>
        </w:rPr>
        <w:t>技巧一：不要使用不明链接或电子邮件提供的银行网站；对以“异常账户活动”等理由，要求您提供银行卡卡号及密码的电子邮件或银行网站保持警惕。</w:t>
      </w:r>
    </w:p>
    <w:p>
      <w:pPr>
        <w:spacing w:line="360" w:lineRule="auto"/>
        <w:rPr>
          <w:rFonts w:hint="eastAsia"/>
        </w:rPr>
      </w:pPr>
      <w:r>
        <w:rPr>
          <w:rFonts w:hint="eastAsia"/>
        </w:rPr>
        <w:t>技巧二：不要在网吧等公共上网场所进行网上交易，防范卡号及密码等信息被他人盗取。</w:t>
      </w:r>
    </w:p>
    <w:p>
      <w:pPr>
        <w:spacing w:line="360" w:lineRule="auto"/>
        <w:rPr>
          <w:rFonts w:hint="eastAsia"/>
        </w:rPr>
      </w:pPr>
      <w:r>
        <w:rPr>
          <w:rFonts w:hint="eastAsia"/>
        </w:rPr>
        <w:t>技巧三：选择信誉好、运营时间长的网站进行银行卡网上支付业务，防范不法网上商户盗取卡号或其他个人资料。</w:t>
      </w:r>
    </w:p>
    <w:p>
      <w:pPr>
        <w:spacing w:line="360" w:lineRule="auto"/>
        <w:rPr>
          <w:rFonts w:hint="eastAsia"/>
        </w:rPr>
      </w:pPr>
      <w:r>
        <w:rPr>
          <w:rFonts w:hint="eastAsia"/>
        </w:rPr>
        <w:t>技巧四：保留网上消费的记录，以备查询；经常检查银行账户交易明细，发现不明支出款项，应立即联络发卡银行。</w:t>
      </w:r>
    </w:p>
    <w:p>
      <w:pPr>
        <w:spacing w:line="360" w:lineRule="auto"/>
        <w:rPr>
          <w:rFonts w:hint="eastAsia"/>
        </w:rPr>
      </w:pPr>
    </w:p>
    <w:p>
      <w:pPr>
        <w:spacing w:line="360" w:lineRule="auto"/>
        <w:rPr>
          <w:rFonts w:hint="eastAsia"/>
          <w:b/>
        </w:rPr>
      </w:pPr>
      <w:r>
        <w:rPr>
          <w:rFonts w:hint="eastAsia"/>
          <w:b/>
        </w:rPr>
        <w:t>4、善用个人信用五招数</w:t>
      </w:r>
    </w:p>
    <w:p>
      <w:pPr>
        <w:spacing w:line="360" w:lineRule="auto"/>
        <w:rPr>
          <w:rFonts w:hint="eastAsia"/>
        </w:rPr>
      </w:pPr>
      <w:r>
        <w:rPr>
          <w:rFonts w:hint="eastAsia"/>
        </w:rPr>
        <w:t>招一：不可以恶意透支为目的，通过非法中介机构办理信用卡，更不能主动参与信用卡套现，以免对个人资信状况造成负面影响。</w:t>
      </w:r>
    </w:p>
    <w:p>
      <w:pPr>
        <w:spacing w:line="360" w:lineRule="auto"/>
        <w:rPr>
          <w:rFonts w:hint="eastAsia"/>
        </w:rPr>
      </w:pPr>
      <w:r>
        <w:rPr>
          <w:rFonts w:hint="eastAsia"/>
        </w:rPr>
        <w:t>招二：不要申请超过您所能负担的信用卡数量，应根据自己的经济能力进行信用卡消费，以免背上无法承担的债务。</w:t>
      </w:r>
    </w:p>
    <w:p>
      <w:pPr>
        <w:spacing w:line="360" w:lineRule="auto"/>
        <w:rPr>
          <w:rFonts w:hint="eastAsia"/>
        </w:rPr>
      </w:pPr>
      <w:r>
        <w:rPr>
          <w:rFonts w:hint="eastAsia"/>
        </w:rPr>
        <w:t>招三：在办理信用卡贷款或预借现金前，应先仔细评估所需支付的成本和利息，合理使用信用卡透支消费功能。</w:t>
      </w:r>
    </w:p>
    <w:p>
      <w:pPr>
        <w:spacing w:line="360" w:lineRule="auto"/>
        <w:rPr>
          <w:rFonts w:hint="eastAsia"/>
        </w:rPr>
      </w:pPr>
      <w:r>
        <w:rPr>
          <w:rFonts w:hint="eastAsia"/>
        </w:rPr>
        <w:t>招四：养成理性的付款习惯，按期归还信用卡透支款项，以免因延迟付款或付款不足而被列入银行不良信用记录名单，给个人信用带来负面影响。</w:t>
      </w:r>
    </w:p>
    <w:p>
      <w:pPr>
        <w:spacing w:line="360" w:lineRule="auto"/>
        <w:rPr>
          <w:rFonts w:hint="eastAsia"/>
        </w:rPr>
      </w:pPr>
      <w:r>
        <w:rPr>
          <w:rFonts w:hint="eastAsia"/>
        </w:rPr>
        <w:t>招五：及时核对账单数据的正确性。一有疑问，请立即向您的发卡银行询问。</w:t>
      </w:r>
    </w:p>
    <w:p>
      <w:pPr>
        <w:spacing w:line="360" w:lineRule="auto"/>
        <w:rPr>
          <w:rFonts w:hint="eastAsia"/>
        </w:rPr>
      </w:pPr>
    </w:p>
    <w:p>
      <w:pPr>
        <w:spacing w:line="360" w:lineRule="auto"/>
        <w:rPr>
          <w:rFonts w:hint="eastAsia"/>
          <w:b/>
        </w:rPr>
      </w:pPr>
      <w:r>
        <w:rPr>
          <w:rFonts w:hint="eastAsia"/>
          <w:b/>
        </w:rPr>
        <w:t>5、保护个人信息五招数</w:t>
      </w:r>
    </w:p>
    <w:p>
      <w:pPr>
        <w:spacing w:line="360" w:lineRule="auto"/>
        <w:rPr>
          <w:rFonts w:hint="eastAsia" w:cs="仿宋_GB2312"/>
        </w:rPr>
      </w:pPr>
      <w:r>
        <w:rPr>
          <w:rFonts w:hint="eastAsia" w:cs="仿宋_GB2312"/>
        </w:rPr>
        <w:t>招一：</w:t>
      </w:r>
      <w:r>
        <w:rPr>
          <w:rFonts w:hint="eastAsia" w:cs="宋体"/>
        </w:rPr>
        <w:t>为降</w:t>
      </w:r>
      <w:r>
        <w:rPr>
          <w:rFonts w:hint="eastAsia" w:cs="仿宋_GB2312"/>
        </w:rPr>
        <w:t>低</w:t>
      </w:r>
      <w:r>
        <w:rPr>
          <w:rFonts w:hint="eastAsia" w:cs="宋体"/>
        </w:rPr>
        <w:t>个</w:t>
      </w:r>
      <w:r>
        <w:rPr>
          <w:rFonts w:hint="eastAsia" w:cs="仿宋_GB2312"/>
        </w:rPr>
        <w:t>人</w:t>
      </w:r>
      <w:r>
        <w:rPr>
          <w:rFonts w:hint="eastAsia" w:cs="宋体"/>
        </w:rPr>
        <w:t>资</w:t>
      </w:r>
      <w:r>
        <w:rPr>
          <w:rFonts w:hint="eastAsia" w:cs="仿宋_GB2312"/>
        </w:rPr>
        <w:t>料被</w:t>
      </w:r>
      <w:r>
        <w:rPr>
          <w:rFonts w:hint="eastAsia" w:cs="宋体"/>
        </w:rPr>
        <w:t>盗</w:t>
      </w:r>
      <w:r>
        <w:rPr>
          <w:rFonts w:hint="eastAsia" w:cs="仿宋_GB2312"/>
        </w:rPr>
        <w:t>用的</w:t>
      </w:r>
      <w:r>
        <w:rPr>
          <w:rFonts w:hint="eastAsia" w:cs="宋体"/>
        </w:rPr>
        <w:t>风险</w:t>
      </w:r>
      <w:r>
        <w:rPr>
          <w:rFonts w:hint="eastAsia" w:cs="仿宋_GB2312"/>
        </w:rPr>
        <w:t>，请</w:t>
      </w:r>
      <w:r>
        <w:rPr>
          <w:rFonts w:hint="eastAsia"/>
        </w:rPr>
        <w:t>直接到银行柜台或经银行授权的正规营销机构办理信用卡申请手续，</w:t>
      </w:r>
      <w:r>
        <w:rPr>
          <w:rFonts w:hint="eastAsia" w:cs="宋体"/>
        </w:rPr>
        <w:t>不要</w:t>
      </w:r>
      <w:r>
        <w:rPr>
          <w:rFonts w:hint="eastAsia" w:cs="仿宋_GB2312"/>
        </w:rPr>
        <w:t>委</w:t>
      </w:r>
      <w:r>
        <w:rPr>
          <w:rFonts w:hint="eastAsia" w:cs="宋体"/>
        </w:rPr>
        <w:t>托</w:t>
      </w:r>
      <w:r>
        <w:rPr>
          <w:rFonts w:hint="eastAsia" w:cs="仿宋_GB2312"/>
        </w:rPr>
        <w:t>他人或非法中介机构代</w:t>
      </w:r>
      <w:r>
        <w:rPr>
          <w:rFonts w:hint="eastAsia" w:cs="宋体"/>
        </w:rPr>
        <w:t>办</w:t>
      </w:r>
      <w:r>
        <w:rPr>
          <w:rFonts w:hint="eastAsia" w:cs="仿宋_GB2312"/>
        </w:rPr>
        <w:t>信用卡。</w:t>
      </w:r>
    </w:p>
    <w:p>
      <w:pPr>
        <w:spacing w:line="360" w:lineRule="auto"/>
        <w:rPr>
          <w:rFonts w:hint="eastAsia" w:cs="仿宋_GB2312"/>
        </w:rPr>
      </w:pPr>
      <w:r>
        <w:rPr>
          <w:rFonts w:hint="eastAsia" w:cs="仿宋_GB2312"/>
        </w:rPr>
        <w:t>招二：提供</w:t>
      </w:r>
      <w:r>
        <w:rPr>
          <w:rFonts w:hint="eastAsia" w:cs="宋体"/>
        </w:rPr>
        <w:t>个</w:t>
      </w:r>
      <w:r>
        <w:rPr>
          <w:rFonts w:hint="eastAsia" w:cs="仿宋_GB2312"/>
        </w:rPr>
        <w:t>人身份</w:t>
      </w:r>
      <w:r>
        <w:rPr>
          <w:rFonts w:hint="eastAsia" w:cs="宋体"/>
        </w:rPr>
        <w:t>证</w:t>
      </w:r>
      <w:r>
        <w:rPr>
          <w:rFonts w:hint="eastAsia" w:cs="仿宋_GB2312"/>
        </w:rPr>
        <w:t>复印件申</w:t>
      </w:r>
      <w:r>
        <w:rPr>
          <w:rFonts w:hint="eastAsia" w:cs="宋体"/>
        </w:rPr>
        <w:t>办</w:t>
      </w:r>
      <w:r>
        <w:rPr>
          <w:rFonts w:hint="eastAsia" w:cs="仿宋_GB2312"/>
        </w:rPr>
        <w:t>信用卡</w:t>
      </w:r>
      <w:r>
        <w:rPr>
          <w:rFonts w:hint="eastAsia" w:cs="宋体"/>
        </w:rPr>
        <w:t>时</w:t>
      </w:r>
      <w:r>
        <w:rPr>
          <w:rFonts w:hint="eastAsia" w:cs="仿宋_GB2312"/>
        </w:rPr>
        <w:t>，建</w:t>
      </w:r>
      <w:r>
        <w:rPr>
          <w:rFonts w:hint="eastAsia" w:cs="宋体"/>
        </w:rPr>
        <w:t>议</w:t>
      </w:r>
      <w:r>
        <w:rPr>
          <w:rFonts w:hint="eastAsia" w:cs="仿宋_GB2312"/>
        </w:rPr>
        <w:t>在复印件上</w:t>
      </w:r>
      <w:r>
        <w:rPr>
          <w:rFonts w:hint="eastAsia" w:cs="宋体"/>
        </w:rPr>
        <w:t>注</w:t>
      </w:r>
      <w:r>
        <w:rPr>
          <w:rFonts w:hint="eastAsia" w:cs="仿宋_GB2312"/>
        </w:rPr>
        <w:t>明使用用途，例如：“</w:t>
      </w:r>
      <w:r>
        <w:rPr>
          <w:rFonts w:hint="eastAsia" w:cs="宋体"/>
        </w:rPr>
        <w:t>谨</w:t>
      </w:r>
      <w:r>
        <w:rPr>
          <w:rFonts w:hint="eastAsia" w:cs="仿宋_GB2312"/>
        </w:rPr>
        <w:t>供申</w:t>
      </w:r>
      <w:r>
        <w:rPr>
          <w:rFonts w:hint="eastAsia" w:cs="宋体"/>
        </w:rPr>
        <w:t>办</w:t>
      </w:r>
      <w:r>
        <w:rPr>
          <w:rFonts w:hint="eastAsia" w:cs="仿宋_GB2312"/>
        </w:rPr>
        <w:t>＊＊信用卡用”，以防止身份</w:t>
      </w:r>
      <w:r>
        <w:rPr>
          <w:rFonts w:hint="eastAsia" w:cs="宋体"/>
        </w:rPr>
        <w:t>证</w:t>
      </w:r>
      <w:r>
        <w:rPr>
          <w:rFonts w:hint="eastAsia" w:cs="仿宋_GB2312"/>
        </w:rPr>
        <w:t>复印件被移作他用。</w:t>
      </w:r>
    </w:p>
    <w:p>
      <w:pPr>
        <w:spacing w:line="360" w:lineRule="auto"/>
        <w:rPr>
          <w:rFonts w:hint="eastAsia" w:cs="仿宋_GB2312"/>
        </w:rPr>
      </w:pPr>
      <w:r>
        <w:rPr>
          <w:rFonts w:hint="eastAsia" w:cs="仿宋_GB2312"/>
        </w:rPr>
        <w:t>招三：接到自</w:t>
      </w:r>
      <w:r>
        <w:rPr>
          <w:rFonts w:hint="eastAsia" w:cs="宋体"/>
        </w:rPr>
        <w:t>称银</w:t>
      </w:r>
      <w:r>
        <w:rPr>
          <w:rFonts w:hint="eastAsia" w:cs="仿宋_GB2312"/>
        </w:rPr>
        <w:t>行人</w:t>
      </w:r>
      <w:r>
        <w:rPr>
          <w:rFonts w:hint="eastAsia" w:cs="宋体"/>
        </w:rPr>
        <w:t>员的电话</w:t>
      </w:r>
      <w:r>
        <w:rPr>
          <w:rFonts w:hint="eastAsia" w:cs="仿宋_GB2312"/>
        </w:rPr>
        <w:t>向您</w:t>
      </w:r>
      <w:r>
        <w:rPr>
          <w:rFonts w:hint="eastAsia" w:cs="宋体"/>
        </w:rPr>
        <w:t>询问有关信用卡卡号、银行账号及密码等个</w:t>
      </w:r>
      <w:r>
        <w:rPr>
          <w:rFonts w:hint="eastAsia" w:cs="仿宋_GB2312"/>
        </w:rPr>
        <w:t>人账户</w:t>
      </w:r>
      <w:r>
        <w:rPr>
          <w:rFonts w:hint="eastAsia" w:cs="宋体"/>
        </w:rPr>
        <w:t>资</w:t>
      </w:r>
      <w:r>
        <w:rPr>
          <w:rFonts w:hint="eastAsia" w:cs="仿宋_GB2312"/>
        </w:rPr>
        <w:t>料时，要提高警惕。</w:t>
      </w:r>
    </w:p>
    <w:p>
      <w:pPr>
        <w:spacing w:line="360" w:lineRule="auto"/>
        <w:rPr>
          <w:rFonts w:hint="eastAsia"/>
        </w:rPr>
      </w:pPr>
      <w:r>
        <w:rPr>
          <w:rFonts w:hint="eastAsia"/>
        </w:rPr>
        <w:t>招四：不要把您的身份证、信用卡转借给他人使用，更不要泄露自己银行卡的卡号及其有效期。</w:t>
      </w:r>
    </w:p>
    <w:p>
      <w:pPr>
        <w:spacing w:line="360" w:lineRule="auto"/>
        <w:rPr>
          <w:rFonts w:hint="eastAsia"/>
        </w:rPr>
      </w:pPr>
      <w:r>
        <w:rPr>
          <w:rFonts w:hint="eastAsia"/>
        </w:rPr>
        <w:t>招五：若发现非法中介或套现商户，请拨打发卡银行的电话或银联卡反欺诈服务中心热线95534-6予以举报，共同维护银行卡健康良好的发展环境。</w:t>
      </w:r>
    </w:p>
    <w:p>
      <w:pPr>
        <w:spacing w:line="360" w:lineRule="auto"/>
        <w:rPr>
          <w:rFonts w:hint="eastAsia"/>
        </w:rPr>
      </w:pPr>
    </w:p>
    <w:sectPr>
      <w:headerReference r:id="rId8" w:type="even"/>
      <w:pgSz w:w="10433" w:h="14742"/>
      <w:pgMar w:top="1021" w:right="1134" w:bottom="680" w:left="1134" w:header="794"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1</w:t>
    </w:r>
    <w:r>
      <w:fldChar w:fldCharType="end"/>
    </w:r>
  </w:p>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2</w:t>
    </w:r>
    <w:r>
      <w:fldChar w:fldCharType="end"/>
    </w:r>
  </w:p>
  <w:p>
    <w:pPr>
      <w:pStyle w:val="1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全国网络统考-----学习中心操作指南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rFonts w:hint="eastAsia"/>
      </w:rPr>
      <w:t>全国网络统考-----学习中心操作指南</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sz w:val="21"/>
        <w:szCs w:val="21"/>
      </w:rPr>
      <w:t>全国网络统考-----学习中心操作指南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rFonts w:hint="eastAsia"/>
      </w:rPr>
      <w:t>全国网络统考-----学习中心操作指南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F302D"/>
    <w:multiLevelType w:val="multilevel"/>
    <w:tmpl w:val="5EEF302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252B"/>
    <w:rsid w:val="0005599E"/>
    <w:rsid w:val="00055A90"/>
    <w:rsid w:val="00087B23"/>
    <w:rsid w:val="0014769F"/>
    <w:rsid w:val="00172C88"/>
    <w:rsid w:val="001951D5"/>
    <w:rsid w:val="001C6F2E"/>
    <w:rsid w:val="001D04D6"/>
    <w:rsid w:val="00216ACB"/>
    <w:rsid w:val="0028128E"/>
    <w:rsid w:val="00312ACC"/>
    <w:rsid w:val="00357171"/>
    <w:rsid w:val="00373488"/>
    <w:rsid w:val="00377BD2"/>
    <w:rsid w:val="003B1352"/>
    <w:rsid w:val="003E745E"/>
    <w:rsid w:val="004050E6"/>
    <w:rsid w:val="00477CF0"/>
    <w:rsid w:val="00481E0D"/>
    <w:rsid w:val="004933EE"/>
    <w:rsid w:val="00507527"/>
    <w:rsid w:val="0050759A"/>
    <w:rsid w:val="005428E8"/>
    <w:rsid w:val="00633EAE"/>
    <w:rsid w:val="00641F4D"/>
    <w:rsid w:val="00660AED"/>
    <w:rsid w:val="006B79C1"/>
    <w:rsid w:val="006C5FB1"/>
    <w:rsid w:val="007372EF"/>
    <w:rsid w:val="0074023D"/>
    <w:rsid w:val="00762DDE"/>
    <w:rsid w:val="00771BC0"/>
    <w:rsid w:val="009702A7"/>
    <w:rsid w:val="009D7832"/>
    <w:rsid w:val="00A06D44"/>
    <w:rsid w:val="00A20DF9"/>
    <w:rsid w:val="00A21390"/>
    <w:rsid w:val="00A86DFF"/>
    <w:rsid w:val="00AD01E7"/>
    <w:rsid w:val="00AE449D"/>
    <w:rsid w:val="00B20AAE"/>
    <w:rsid w:val="00B23315"/>
    <w:rsid w:val="00B51798"/>
    <w:rsid w:val="00B86152"/>
    <w:rsid w:val="00C0097A"/>
    <w:rsid w:val="00C533AB"/>
    <w:rsid w:val="00C7164E"/>
    <w:rsid w:val="00CD29C2"/>
    <w:rsid w:val="00CF457B"/>
    <w:rsid w:val="00D0577A"/>
    <w:rsid w:val="00D35C8D"/>
    <w:rsid w:val="00D6076F"/>
    <w:rsid w:val="00D84A21"/>
    <w:rsid w:val="00D87966"/>
    <w:rsid w:val="00DF5B25"/>
    <w:rsid w:val="00E6153A"/>
    <w:rsid w:val="00E93655"/>
    <w:rsid w:val="00EA2BAB"/>
    <w:rsid w:val="00F02A00"/>
    <w:rsid w:val="00F82498"/>
    <w:rsid w:val="00FC56CB"/>
    <w:rsid w:val="00FD550C"/>
    <w:rsid w:val="00FD5E08"/>
    <w:rsid w:val="1EFD0E00"/>
    <w:rsid w:val="206535C2"/>
    <w:rsid w:val="24863AAD"/>
    <w:rsid w:val="309A09DB"/>
    <w:rsid w:val="398C29A2"/>
    <w:rsid w:val="52ED282C"/>
    <w:rsid w:val="57D11B89"/>
    <w:rsid w:val="63ED020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39" w:semiHidden="0" w:name="toc 2"/>
    <w:lsdException w:qFormat="1" w:unhideWhenUsed="0" w:uiPriority="39" w:semiHidden="0" w:name="toc 3"/>
    <w:lsdException w:qFormat="1" w:unhideWhenUsed="0" w:uiPriority="0" w:name="toc 4"/>
    <w:lsdException w:unhideWhenUsed="0" w:uiPriority="0" w:semiHidden="0" w:name="toc 5"/>
    <w:lsdException w:unhideWhenUsed="0" w:uiPriority="0" w:semiHidden="0" w:name="toc 6"/>
    <w:lsdException w:qFormat="1" w:unhideWhenUsed="0" w:uiPriority="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28"/>
      <w:szCs w:val="44"/>
    </w:rPr>
  </w:style>
  <w:style w:type="paragraph" w:styleId="3">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20">
    <w:name w:val="Default Paragraph Font"/>
    <w:semiHidden/>
    <w:qFormat/>
    <w:uiPriority w:val="0"/>
    <w:rPr>
      <w:rFonts w:ascii="Tahoma" w:hAnsi="Tahoma"/>
      <w:sz w:val="24"/>
    </w:rPr>
  </w:style>
  <w:style w:type="table" w:default="1" w:styleId="25">
    <w:name w:val="Normal Table"/>
    <w:semiHidden/>
    <w:qFormat/>
    <w:uiPriority w:val="0"/>
    <w:tblPr>
      <w:tblLayout w:type="fixed"/>
      <w:tblCellMar>
        <w:top w:w="0" w:type="dxa"/>
        <w:left w:w="108" w:type="dxa"/>
        <w:bottom w:w="0" w:type="dxa"/>
        <w:right w:w="108" w:type="dxa"/>
      </w:tblCellMar>
    </w:tblPr>
  </w:style>
  <w:style w:type="paragraph" w:styleId="5">
    <w:name w:val="annotation subject"/>
    <w:basedOn w:val="6"/>
    <w:next w:val="6"/>
    <w:semiHidden/>
    <w:qFormat/>
    <w:uiPriority w:val="0"/>
    <w:rPr>
      <w:b/>
      <w:bCs/>
    </w:rPr>
  </w:style>
  <w:style w:type="paragraph" w:styleId="6">
    <w:name w:val="annotation text"/>
    <w:basedOn w:val="1"/>
    <w:semiHidden/>
    <w:qFormat/>
    <w:uiPriority w:val="0"/>
    <w:pPr>
      <w:jc w:val="left"/>
    </w:pPr>
  </w:style>
  <w:style w:type="paragraph" w:styleId="7">
    <w:name w:val="toc 7"/>
    <w:basedOn w:val="1"/>
    <w:next w:val="1"/>
    <w:semiHidden/>
    <w:qFormat/>
    <w:uiPriority w:val="0"/>
    <w:pPr>
      <w:ind w:left="2520" w:leftChars="1200"/>
    </w:pPr>
  </w:style>
  <w:style w:type="paragraph" w:styleId="8">
    <w:name w:val="Document Map"/>
    <w:basedOn w:val="1"/>
    <w:semiHidden/>
    <w:qFormat/>
    <w:uiPriority w:val="0"/>
    <w:pPr>
      <w:shd w:val="clear" w:color="auto" w:fill="000080"/>
    </w:pPr>
  </w:style>
  <w:style w:type="paragraph" w:styleId="9">
    <w:name w:val="Body Text"/>
    <w:basedOn w:val="1"/>
    <w:qFormat/>
    <w:uiPriority w:val="0"/>
    <w:rPr>
      <w:color w:val="FF0000"/>
      <w:sz w:val="24"/>
    </w:rPr>
  </w:style>
  <w:style w:type="paragraph" w:styleId="10">
    <w:name w:val="Body Text Indent"/>
    <w:basedOn w:val="1"/>
    <w:qFormat/>
    <w:uiPriority w:val="0"/>
    <w:pPr>
      <w:spacing w:before="156" w:beforeLines="50" w:after="156" w:afterLines="50"/>
      <w:ind w:firstLine="420" w:firstLineChars="200"/>
    </w:pPr>
    <w:rPr>
      <w:rFonts w:ascii="宋体" w:hAnsi="宋体"/>
      <w:color w:val="0000FF"/>
      <w:szCs w:val="21"/>
    </w:rPr>
  </w:style>
  <w:style w:type="paragraph" w:styleId="11">
    <w:name w:val="toc 3"/>
    <w:basedOn w:val="1"/>
    <w:next w:val="1"/>
    <w:qFormat/>
    <w:uiPriority w:val="39"/>
    <w:pPr>
      <w:tabs>
        <w:tab w:val="right" w:leader="dot" w:pos="8100"/>
      </w:tabs>
      <w:ind w:left="840" w:leftChars="400"/>
    </w:pPr>
    <w:rPr>
      <w:b/>
    </w:rPr>
  </w:style>
  <w:style w:type="paragraph" w:styleId="12">
    <w:name w:val="Balloon Text"/>
    <w:basedOn w:val="1"/>
    <w:semiHidden/>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qFormat/>
    <w:uiPriority w:val="0"/>
    <w:pPr>
      <w:tabs>
        <w:tab w:val="right" w:pos="4200"/>
        <w:tab w:val="right" w:pos="10500"/>
      </w:tabs>
    </w:pPr>
  </w:style>
  <w:style w:type="paragraph" w:styleId="16">
    <w:name w:val="toc 4"/>
    <w:basedOn w:val="1"/>
    <w:next w:val="1"/>
    <w:semiHidden/>
    <w:qFormat/>
    <w:uiPriority w:val="0"/>
    <w:pPr>
      <w:ind w:left="1260" w:leftChars="600"/>
    </w:pPr>
  </w:style>
  <w:style w:type="paragraph" w:styleId="17">
    <w:name w:val="toc 2"/>
    <w:basedOn w:val="1"/>
    <w:next w:val="1"/>
    <w:qFormat/>
    <w:uiPriority w:val="39"/>
    <w:pPr>
      <w:tabs>
        <w:tab w:val="right" w:leader="dot" w:pos="8100"/>
      </w:tabs>
      <w:spacing w:before="312" w:beforeLines="100" w:after="312" w:afterLines="100" w:line="440" w:lineRule="exact"/>
      <w:ind w:left="420" w:leftChars="200"/>
      <w:jc w:val="center"/>
    </w:pPr>
    <w:rPr>
      <w:rFonts w:ascii="仿宋_GB2312" w:eastAsia="仿宋_GB2312"/>
      <w:b/>
      <w:sz w:val="32"/>
      <w:szCs w:val="32"/>
    </w:rPr>
  </w:style>
  <w:style w:type="paragraph" w:styleId="18">
    <w:name w:val="Body Text 2"/>
    <w:basedOn w:val="1"/>
    <w:uiPriority w:val="0"/>
    <w:rPr>
      <w:color w:val="FF0000"/>
    </w:rPr>
  </w:style>
  <w:style w:type="paragraph" w:styleId="19">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character" w:styleId="21">
    <w:name w:val="page number"/>
    <w:basedOn w:val="20"/>
    <w:uiPriority w:val="0"/>
  </w:style>
  <w:style w:type="character" w:styleId="22">
    <w:name w:val="FollowedHyperlink"/>
    <w:uiPriority w:val="0"/>
    <w:rPr>
      <w:color w:val="800080"/>
      <w:u w:val="single"/>
    </w:rPr>
  </w:style>
  <w:style w:type="character" w:styleId="23">
    <w:name w:val="Hyperlink"/>
    <w:uiPriority w:val="99"/>
    <w:rPr>
      <w:color w:val="0000FF"/>
      <w:u w:val="single"/>
    </w:rPr>
  </w:style>
  <w:style w:type="character" w:styleId="24">
    <w:name w:val="annotation reference"/>
    <w:semiHidden/>
    <w:uiPriority w:val="0"/>
    <w:rPr>
      <w:sz w:val="21"/>
      <w:szCs w:val="21"/>
    </w:rPr>
  </w:style>
  <w:style w:type="paragraph" w:customStyle="1" w:styleId="26">
    <w:name w:val="_Style 7"/>
    <w:basedOn w:val="1"/>
    <w:qFormat/>
    <w:uiPriority w:val="0"/>
    <w:rPr>
      <w:rFonts w:ascii="Tahoma" w:hAnsi="Tahoma"/>
      <w:sz w:val="24"/>
    </w:rPr>
  </w:style>
  <w:style w:type="paragraph" w:customStyle="1" w:styleId="27">
    <w:name w:val=" Char"/>
    <w:basedOn w:val="1"/>
    <w:qFormat/>
    <w:uiPriority w:val="0"/>
    <w:rPr>
      <w:rFonts w:ascii="Tahoma" w:hAnsi="Tahoma"/>
      <w:sz w:val="24"/>
    </w:rPr>
  </w:style>
  <w:style w:type="paragraph" w:customStyle="1" w:styleId="28">
    <w:name w:val="big"/>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29">
    <w:name w:val="9font"/>
    <w:basedOn w:val="1"/>
    <w:uiPriority w:val="0"/>
    <w:pPr>
      <w:widowControl/>
      <w:spacing w:before="100" w:beforeLines="0" w:beforeAutospacing="1" w:after="100" w:afterLines="0" w:afterAutospacing="1"/>
      <w:jc w:val="left"/>
    </w:pPr>
    <w:rPr>
      <w:rFonts w:ascii="ˎ̥" w:hAnsi="ˎ̥" w:cs="宋体"/>
      <w:kern w:val="0"/>
      <w:sz w:val="18"/>
      <w:szCs w:val="18"/>
    </w:rPr>
  </w:style>
  <w:style w:type="paragraph" w:customStyle="1" w:styleId="30">
    <w:name w:val=" Char Char1"/>
    <w:basedOn w:val="1"/>
    <w:qFormat/>
    <w:uiPriority w:val="0"/>
    <w:rPr>
      <w:rFonts w:ascii="Tahoma" w:hAnsi="Tahoma"/>
      <w:sz w:val="24"/>
    </w:rPr>
  </w:style>
  <w:style w:type="character" w:customStyle="1" w:styleId="31">
    <w:name w:val="newsbody"/>
    <w:basedOn w:val="20"/>
    <w:qFormat/>
    <w:uiPriority w:val="0"/>
  </w:style>
  <w:style w:type="character" w:customStyle="1" w:styleId="32">
    <w:name w:val="newstitle"/>
    <w:basedOn w:val="20"/>
    <w:uiPriority w:val="0"/>
  </w:style>
  <w:style w:type="character" w:customStyle="1" w:styleId="33">
    <w:name w:val="cssyangshi11"/>
    <w:qFormat/>
    <w:uiPriority w:val="0"/>
    <w:rPr>
      <w:b/>
      <w:bCs/>
      <w:color w:val="027AC4"/>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1086</Words>
  <Characters>6193</Characters>
  <Lines>51</Lines>
  <Paragraphs>14</Paragraphs>
  <TotalTime>2</TotalTime>
  <ScaleCrop>false</ScaleCrop>
  <LinksUpToDate>false</LinksUpToDate>
  <CharactersWithSpaces>7265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2006-12-24T06:42:00Z</dcterms:created>
  <dc:creator>dell</dc:creator>
  <cp:lastModifiedBy>涂老三</cp:lastModifiedBy>
  <cp:lastPrinted>2006-12-25T11:48:00Z</cp:lastPrinted>
  <dcterms:modified xsi:type="dcterms:W3CDTF">2019-01-18T09:12:48Z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