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0" w:lineRule="exact"/>
        <w:ind w:left="0" w:leftChars="0" w:firstLine="0" w:firstLineChars="0"/>
        <w:jc w:val="center"/>
        <w:rPr>
          <w:rFonts w:ascii="楷体" w:hAnsi="楷体" w:eastAsia="楷体"/>
          <w:b/>
          <w:kern w:val="0"/>
          <w:sz w:val="36"/>
          <w:szCs w:val="36"/>
        </w:rPr>
      </w:pPr>
      <w:bookmarkStart w:id="0" w:name="_Toc26219_WPSOffice_Level3"/>
      <w:r>
        <w:rPr>
          <w:rFonts w:hint="eastAsia" w:ascii="楷体" w:hAnsi="楷体" w:eastAsia="楷体"/>
          <w:b/>
          <w:kern w:val="0"/>
          <w:sz w:val="36"/>
          <w:szCs w:val="36"/>
        </w:rPr>
        <w:t>大数据</w:t>
      </w:r>
      <w:r>
        <w:rPr>
          <w:rFonts w:hint="eastAsia" w:ascii="楷体" w:hAnsi="楷体" w:eastAsia="楷体"/>
          <w:b/>
          <w:kern w:val="0"/>
          <w:sz w:val="36"/>
          <w:szCs w:val="36"/>
          <w:lang w:val="en-US" w:eastAsia="zh-CN"/>
        </w:rPr>
        <w:t>与会计</w:t>
      </w:r>
      <w:r>
        <w:rPr>
          <w:rFonts w:hint="eastAsia" w:ascii="楷体" w:hAnsi="楷体" w:eastAsia="楷体"/>
          <w:b/>
          <w:kern w:val="0"/>
          <w:sz w:val="36"/>
          <w:szCs w:val="36"/>
        </w:rPr>
        <w:t>培养方案</w:t>
      </w:r>
    </w:p>
    <w:p>
      <w:pPr>
        <w:widowControl/>
        <w:spacing w:line="430" w:lineRule="exact"/>
        <w:ind w:firstLine="482" w:firstLineChars="200"/>
        <w:jc w:val="center"/>
        <w:rPr>
          <w:rFonts w:ascii="楷体" w:hAnsi="楷体" w:eastAsia="楷体"/>
          <w:b/>
          <w:kern w:val="0"/>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ascii="仿宋" w:hAnsi="仿宋" w:eastAsia="仿宋"/>
          <w:b/>
          <w:sz w:val="28"/>
          <w:szCs w:val="24"/>
        </w:rPr>
      </w:pPr>
      <w:r>
        <w:rPr>
          <w:rFonts w:hint="eastAsia" w:ascii="仿宋" w:hAnsi="仿宋" w:eastAsia="仿宋"/>
          <w:b/>
          <w:sz w:val="28"/>
          <w:szCs w:val="24"/>
        </w:rPr>
        <w:t>专业</w:t>
      </w:r>
      <w:r>
        <w:rPr>
          <w:rFonts w:hint="eastAsia" w:ascii="仿宋" w:hAnsi="仿宋" w:eastAsia="仿宋"/>
          <w:b/>
          <w:sz w:val="28"/>
          <w:szCs w:val="24"/>
          <w:lang w:val="en-US" w:eastAsia="zh-CN"/>
        </w:rPr>
        <w:t>基本信息</w:t>
      </w:r>
    </w:p>
    <w:p>
      <w:pPr>
        <w:autoSpaceDE w:val="0"/>
        <w:autoSpaceDN w:val="0"/>
        <w:adjustRightInd w:val="0"/>
        <w:spacing w:line="440" w:lineRule="exact"/>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专业名称：</w:t>
      </w:r>
      <w:r>
        <w:rPr>
          <w:rFonts w:hint="eastAsia" w:ascii="仿宋" w:hAnsi="仿宋" w:eastAsia="仿宋"/>
          <w:sz w:val="24"/>
          <w:szCs w:val="24"/>
        </w:rPr>
        <w:t>大数据</w:t>
      </w:r>
      <w:r>
        <w:rPr>
          <w:rFonts w:hint="eastAsia" w:ascii="仿宋" w:hAnsi="仿宋" w:eastAsia="仿宋"/>
          <w:sz w:val="24"/>
          <w:szCs w:val="24"/>
          <w:lang w:val="en-US" w:eastAsia="zh-CN"/>
        </w:rPr>
        <w:t>与会计</w:t>
      </w:r>
    </w:p>
    <w:p>
      <w:pPr>
        <w:autoSpaceDE w:val="0"/>
        <w:autoSpaceDN w:val="0"/>
        <w:adjustRightInd w:val="0"/>
        <w:spacing w:line="44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专业代码：530302</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lang w:val="en-US" w:eastAsia="zh-CN"/>
        </w:rPr>
        <w:t>办学层次：</w:t>
      </w:r>
      <w:r>
        <w:rPr>
          <w:rFonts w:hint="eastAsia" w:ascii="仿宋" w:hAnsi="仿宋" w:eastAsia="仿宋"/>
          <w:sz w:val="24"/>
          <w:szCs w:val="24"/>
        </w:rPr>
        <w:t>高起专</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rPr>
        <w:t>学习形式</w:t>
      </w:r>
      <w:r>
        <w:rPr>
          <w:rFonts w:hint="eastAsia" w:ascii="仿宋" w:hAnsi="仿宋" w:eastAsia="仿宋"/>
          <w:sz w:val="24"/>
          <w:szCs w:val="24"/>
          <w:lang w:eastAsia="zh-CN"/>
        </w:rPr>
        <w:t>：</w:t>
      </w:r>
      <w:r>
        <w:rPr>
          <w:rFonts w:hint="eastAsia" w:ascii="仿宋" w:hAnsi="仿宋" w:eastAsia="仿宋"/>
          <w:sz w:val="24"/>
          <w:szCs w:val="24"/>
        </w:rPr>
        <w:t>业余/函授</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default" w:ascii="仿宋" w:hAnsi="仿宋" w:eastAsia="仿宋"/>
          <w:b/>
          <w:sz w:val="28"/>
          <w:szCs w:val="24"/>
          <w:lang w:val="en-US" w:eastAsia="zh-CN"/>
        </w:rPr>
      </w:pPr>
      <w:bookmarkStart w:id="1" w:name="_Toc28471_WPSOffice_Level3"/>
      <w:r>
        <w:rPr>
          <w:rFonts w:hint="eastAsia" w:ascii="仿宋" w:hAnsi="仿宋" w:eastAsia="仿宋"/>
          <w:b/>
          <w:sz w:val="28"/>
          <w:szCs w:val="24"/>
        </w:rPr>
        <w:t>培养目标</w:t>
      </w:r>
      <w:bookmarkEnd w:id="1"/>
      <w:r>
        <w:rPr>
          <w:rFonts w:hint="eastAsia" w:ascii="仿宋" w:hAnsi="仿宋" w:eastAsia="仿宋"/>
          <w:b/>
          <w:sz w:val="28"/>
          <w:szCs w:val="24"/>
          <w:lang w:val="en-US" w:eastAsia="zh-CN"/>
        </w:rPr>
        <w:t>与人才规格</w:t>
      </w:r>
    </w:p>
    <w:p>
      <w:pPr>
        <w:pStyle w:val="8"/>
        <w:keepNext w:val="0"/>
        <w:keepLines w:val="0"/>
        <w:pageBreakBefore w:val="0"/>
        <w:widowControl w:val="0"/>
        <w:kinsoku/>
        <w:wordWrap/>
        <w:overflowPunct/>
        <w:topLinePunct w:val="0"/>
        <w:bidi w:val="0"/>
        <w:snapToGrid/>
        <w:spacing w:beforeLines="0" w:afterLines="0" w:line="360" w:lineRule="auto"/>
        <w:ind w:firstLine="480"/>
        <w:textAlignment w:val="auto"/>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（一）培养目标</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本专业培养</w:t>
      </w:r>
      <w:r>
        <w:rPr>
          <w:rFonts w:ascii="仿宋" w:hAnsi="仿宋" w:eastAsia="仿宋"/>
          <w:sz w:val="24"/>
          <w:szCs w:val="24"/>
        </w:rPr>
        <w:t>德、智、体、美、劳全面发展，</w:t>
      </w:r>
      <w:r>
        <w:rPr>
          <w:rFonts w:hint="eastAsia" w:ascii="仿宋" w:hAnsi="仿宋" w:eastAsia="仿宋"/>
          <w:sz w:val="24"/>
          <w:szCs w:val="24"/>
        </w:rPr>
        <w:t>服务经济社会发展和国家发展战略需求，努力培养品德优良，身心健康，具有</w:t>
      </w:r>
      <w:r>
        <w:rPr>
          <w:rFonts w:ascii="仿宋" w:hAnsi="仿宋" w:eastAsia="仿宋"/>
          <w:sz w:val="24"/>
          <w:szCs w:val="24"/>
        </w:rPr>
        <w:t>扎实经济管理和财务会计理论与实践</w:t>
      </w:r>
      <w:r>
        <w:rPr>
          <w:rFonts w:hint="eastAsia" w:ascii="仿宋" w:hAnsi="仿宋" w:eastAsia="仿宋"/>
          <w:sz w:val="24"/>
          <w:szCs w:val="24"/>
        </w:rPr>
        <w:t>知识</w:t>
      </w:r>
      <w:r>
        <w:rPr>
          <w:rFonts w:ascii="仿宋" w:hAnsi="仿宋" w:eastAsia="仿宋"/>
          <w:sz w:val="24"/>
          <w:szCs w:val="24"/>
        </w:rPr>
        <w:t>，具有较强分析和解决</w:t>
      </w:r>
      <w:r>
        <w:rPr>
          <w:rFonts w:hint="eastAsia" w:ascii="仿宋" w:hAnsi="仿宋" w:eastAsia="仿宋"/>
          <w:sz w:val="24"/>
          <w:szCs w:val="24"/>
        </w:rPr>
        <w:t>会计实务的</w:t>
      </w:r>
      <w:r>
        <w:rPr>
          <w:rFonts w:ascii="仿宋" w:hAnsi="仿宋" w:eastAsia="仿宋"/>
          <w:sz w:val="24"/>
          <w:szCs w:val="24"/>
        </w:rPr>
        <w:t>能力，能够在大数据背景下从事会计核算</w:t>
      </w:r>
      <w:r>
        <w:rPr>
          <w:rFonts w:hint="eastAsia" w:ascii="仿宋" w:hAnsi="仿宋" w:eastAsia="仿宋"/>
          <w:sz w:val="24"/>
          <w:szCs w:val="24"/>
        </w:rPr>
        <w:t>与管理、审计</w:t>
      </w:r>
      <w:r>
        <w:rPr>
          <w:rFonts w:ascii="仿宋" w:hAnsi="仿宋" w:eastAsia="仿宋"/>
          <w:sz w:val="24"/>
          <w:szCs w:val="24"/>
        </w:rPr>
        <w:t>等工作的</w:t>
      </w:r>
      <w:r>
        <w:rPr>
          <w:rFonts w:hint="eastAsia" w:ascii="仿宋" w:hAnsi="仿宋" w:eastAsia="仿宋"/>
          <w:sz w:val="24"/>
          <w:szCs w:val="24"/>
        </w:rPr>
        <w:t>应用型人才。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仿宋" w:hAnsi="仿宋" w:eastAsia="仿宋"/>
          <w:b/>
          <w:bCs/>
          <w:sz w:val="24"/>
          <w:szCs w:val="24"/>
          <w:lang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二</w:t>
      </w:r>
      <w:r>
        <w:rPr>
          <w:rFonts w:hint="eastAsia" w:ascii="仿宋" w:hAnsi="仿宋" w:eastAsia="仿宋"/>
          <w:b/>
          <w:bCs/>
          <w:sz w:val="24"/>
          <w:szCs w:val="24"/>
          <w:lang w:eastAsia="zh-CN"/>
        </w:rPr>
        <w:t>）</w:t>
      </w:r>
      <w:r>
        <w:rPr>
          <w:rFonts w:hint="eastAsia" w:ascii="仿宋" w:hAnsi="仿宋" w:eastAsia="仿宋"/>
          <w:b/>
          <w:bCs/>
          <w:sz w:val="24"/>
          <w:szCs w:val="24"/>
        </w:rPr>
        <w:t>知识、能力和素质要求</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本专业学生系统学习会计理论和方法，接受大数据背景下会计学思维和会计实务训练，能够在大数据背景下具有较好运用会计学理论和会计方法分析解决企事业单位实际会计业务的能力。</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知识要求：熟悉我国相关财经法律法规、方针政策及基本制度，接受较扎实专业理论和专业技能训练，具有较强分析问题和解决问题的能力。</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能力要求：具有良好的自学习惯和能力、有较好表达交流能力和一定计算机信息技术应用能力；具有灵活运用所掌握的相关会计理论知识和技能从事会计核算等相关工作的能力。</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素质要求：具备较高思想道德素质、较强团队意识和健全人格；掌握人文社会科学和自然科学基本知识，具有较好人文修养和良好专业素养；具备良好的身心素质：包括健康体魄、良好心理素质和生活习惯。</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rPr>
        <w:t>修业年限</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修业年限2.5-5年</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教学形式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“线上+线下”</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课程设置与</w:t>
      </w:r>
      <w:r>
        <w:rPr>
          <w:rFonts w:hint="eastAsia" w:ascii="仿宋" w:hAnsi="仿宋" w:eastAsia="仿宋"/>
          <w:b/>
          <w:sz w:val="28"/>
          <w:szCs w:val="24"/>
        </w:rPr>
        <w:t>学时</w:t>
      </w:r>
      <w:r>
        <w:rPr>
          <w:rFonts w:hint="eastAsia" w:ascii="仿宋" w:hAnsi="仿宋" w:eastAsia="仿宋"/>
          <w:b/>
          <w:sz w:val="28"/>
          <w:szCs w:val="24"/>
          <w:lang w:val="en-US" w:eastAsia="zh-CN"/>
        </w:rPr>
        <w:t>分配</w:t>
      </w:r>
    </w:p>
    <w:p>
      <w:pPr>
        <w:spacing w:line="400" w:lineRule="exact"/>
        <w:ind w:firstLine="480" w:firstLineChars="200"/>
        <w:jc w:val="left"/>
        <w:rPr>
          <w:rFonts w:ascii="仿宋" w:hAnsi="仿宋" w:eastAsia="仿宋"/>
          <w:sz w:val="24"/>
          <w:szCs w:val="24"/>
          <w14:textFill>
            <w14:gradFill>
              <w14:gsLst>
                <w14:gs w14:pos="0">
                  <w14:srgbClr w14:val="007BD3"/>
                </w14:gs>
                <w14:gs w14:pos="100000">
                  <w14:srgbClr w14:val="034373"/>
                </w14:gs>
              </w14:gsLst>
              <w14:lin w14:scaled="0"/>
            </w14:gradFill>
          </w14:textFill>
        </w:rPr>
      </w:pPr>
      <w:r>
        <w:rPr>
          <w:rFonts w:hint="eastAsia" w:ascii="仿宋" w:hAnsi="仿宋" w:eastAsia="仿宋"/>
          <w:sz w:val="24"/>
          <w:szCs w:val="24"/>
        </w:rPr>
        <w:t>本专业课程共1600学时，100学分。其中公共基础课</w:t>
      </w:r>
      <w:r>
        <w:rPr>
          <w:rFonts w:hint="eastAsia" w:ascii="仿宋" w:hAnsi="仿宋" w:eastAsia="仿宋"/>
          <w:sz w:val="24"/>
          <w:szCs w:val="24"/>
          <w:lang w:val="en-US" w:eastAsia="zh-CN"/>
        </w:rPr>
        <w:t>512</w:t>
      </w:r>
      <w:r>
        <w:rPr>
          <w:rFonts w:hint="eastAsia" w:ascii="仿宋" w:hAnsi="仿宋" w:eastAsia="仿宋"/>
          <w:sz w:val="24"/>
          <w:szCs w:val="24"/>
        </w:rPr>
        <w:t>学时，计</w:t>
      </w:r>
      <w:r>
        <w:rPr>
          <w:rFonts w:hint="eastAsia" w:ascii="仿宋" w:hAnsi="仿宋" w:eastAsia="仿宋"/>
          <w:sz w:val="24"/>
          <w:szCs w:val="24"/>
          <w:lang w:val="en-US" w:eastAsia="zh-CN"/>
        </w:rPr>
        <w:t>32</w:t>
      </w:r>
      <w:r>
        <w:rPr>
          <w:rFonts w:hint="eastAsia" w:ascii="仿宋" w:hAnsi="仿宋" w:eastAsia="仿宋"/>
          <w:sz w:val="24"/>
          <w:szCs w:val="24"/>
        </w:rPr>
        <w:t>学分；专业课</w:t>
      </w:r>
      <w:r>
        <w:rPr>
          <w:rFonts w:hint="eastAsia" w:ascii="仿宋" w:hAnsi="仿宋" w:eastAsia="仿宋"/>
          <w:sz w:val="24"/>
          <w:szCs w:val="24"/>
          <w:lang w:val="en-US" w:eastAsia="zh-CN"/>
        </w:rPr>
        <w:t>608</w:t>
      </w:r>
      <w:r>
        <w:rPr>
          <w:rFonts w:hint="eastAsia" w:ascii="仿宋" w:hAnsi="仿宋" w:eastAsia="仿宋"/>
          <w:sz w:val="24"/>
          <w:szCs w:val="24"/>
        </w:rPr>
        <w:t>学时，计</w:t>
      </w:r>
      <w:r>
        <w:rPr>
          <w:rFonts w:hint="eastAsia" w:ascii="仿宋" w:hAnsi="仿宋" w:eastAsia="仿宋"/>
          <w:sz w:val="24"/>
          <w:szCs w:val="24"/>
          <w:lang w:val="en-US" w:eastAsia="zh-CN"/>
        </w:rPr>
        <w:t>38</w:t>
      </w:r>
      <w:r>
        <w:rPr>
          <w:rFonts w:hint="eastAsia" w:ascii="仿宋" w:hAnsi="仿宋" w:eastAsia="仿宋"/>
          <w:sz w:val="24"/>
          <w:szCs w:val="24"/>
        </w:rPr>
        <w:t>学分；职业能力拓展课32学时，计2学分；实践课</w:t>
      </w:r>
      <w:r>
        <w:rPr>
          <w:rFonts w:hint="eastAsia" w:ascii="仿宋" w:hAnsi="仿宋" w:eastAsia="仿宋"/>
          <w:sz w:val="24"/>
          <w:szCs w:val="24"/>
          <w:lang w:val="en-US" w:eastAsia="zh-CN"/>
        </w:rPr>
        <w:t>448</w:t>
      </w:r>
      <w:r>
        <w:rPr>
          <w:rFonts w:hint="eastAsia" w:ascii="仿宋" w:hAnsi="仿宋" w:eastAsia="仿宋"/>
          <w:sz w:val="24"/>
          <w:szCs w:val="24"/>
        </w:rPr>
        <w:t>学时，计</w:t>
      </w:r>
      <w:r>
        <w:rPr>
          <w:rFonts w:hint="eastAsia" w:ascii="仿宋" w:hAnsi="仿宋" w:eastAsia="仿宋"/>
          <w:sz w:val="24"/>
          <w:szCs w:val="24"/>
          <w:lang w:val="en-US" w:eastAsia="zh-CN"/>
        </w:rPr>
        <w:t>28</w:t>
      </w:r>
      <w:r>
        <w:rPr>
          <w:rFonts w:hint="eastAsia" w:ascii="仿宋" w:hAnsi="仿宋" w:eastAsia="仿宋"/>
          <w:sz w:val="24"/>
          <w:szCs w:val="24"/>
        </w:rPr>
        <w:t>学分。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考核与毕业要求</w:t>
      </w:r>
    </w:p>
    <w:p>
      <w:pPr>
        <w:keepNext w:val="0"/>
        <w:keepLines w:val="0"/>
        <w:pageBreakBefore w:val="0"/>
        <w:widowControl/>
        <w:kinsoku/>
        <w:wordWrap/>
        <w:overflowPunct/>
        <w:topLinePunct w:val="0"/>
        <w:autoSpaceDE/>
        <w:autoSpaceDN/>
        <w:bidi w:val="0"/>
        <w:adjustRightInd/>
        <w:snapToGrid/>
        <w:spacing w:line="430" w:lineRule="exact"/>
        <w:ind w:firstLine="480" w:firstLineChars="200"/>
        <w:jc w:val="lef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本专业理论课程考核全部采用“过程性考核+终结性考核”的方式。</w:t>
      </w:r>
    </w:p>
    <w:bookmarkEnd w:id="0"/>
    <w:p>
      <w:pPr>
        <w:spacing w:line="440" w:lineRule="exact"/>
        <w:ind w:firstLine="480" w:firstLineChars="200"/>
        <w:rPr>
          <w:rFonts w:ascii="仿宋" w:hAnsi="仿宋" w:eastAsia="仿宋"/>
          <w:sz w:val="24"/>
          <w:szCs w:val="24"/>
        </w:rPr>
      </w:pPr>
      <w:bookmarkStart w:id="2" w:name="_Toc8000_WPSOffice_Level3"/>
      <w:r>
        <w:rPr>
          <w:rFonts w:hint="eastAsia" w:ascii="仿宋" w:hAnsi="仿宋" w:eastAsia="仿宋"/>
          <w:sz w:val="24"/>
          <w:szCs w:val="24"/>
        </w:rPr>
        <w:t>本专业学生系统学习大数据与会计的相关理论和方法，接受大数据等背景下会计学思维和会计实务的训练，毕业时，要求具备运用会计学理论和方法分析问题、解决问题的能力。</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思想素质：具备较高的思想道德素质，有较强的团队意识和健全的人格。</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通识素养：具有数学、英语、人文社会科学和自然科学的基本知识。</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问题分析：能够应用数学、信息技术、社会科学的基本原理，认识社会生活中的经济管理问题，通过运用大数据分析和解决问题的能力，培养良好的专业素质。</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专业知识：掌握会计学专业的基本知识，在会计领域具有较好的综合能力和分析解决问题的素养。</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财务决策能力：能够基于本专业知识，进行会计学专业实践实务工作，具有对经济活动的合理性进行分析、评价和审计的能力。</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职业规范：具有人文社会科学素养、社会责任感，能够在实践工作中理解并遵守会计职业道德和规范，履行责任。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实践能力：具有系统的财务会计实践学习经历，能正确理解企业活动中涉及的会计、财务管理、审计等问题，并作出决策。</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终身学习：具有自主学习和终身学习的意识，有不断学习和适应社会发展的能力。</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lang w:val="en-US" w:eastAsia="zh-CN"/>
        </w:rPr>
        <w:t>教学实施保障</w:t>
      </w:r>
    </w:p>
    <w:bookmarkEnd w:id="2"/>
    <w:p>
      <w:pPr>
        <w:widowControl/>
        <w:spacing w:line="430" w:lineRule="exact"/>
        <w:ind w:firstLine="480" w:firstLineChars="200"/>
        <w:jc w:val="left"/>
        <w:rPr>
          <w:rFonts w:hint="eastAsia" w:ascii="仿宋" w:hAnsi="仿宋" w:eastAsia="仿宋"/>
          <w:b/>
          <w:sz w:val="28"/>
          <w:szCs w:val="24"/>
        </w:rPr>
      </w:pPr>
      <w:r>
        <w:rPr>
          <w:rFonts w:hint="eastAsia" w:ascii="仿宋" w:hAnsi="仿宋" w:eastAsia="仿宋"/>
          <w:sz w:val="24"/>
          <w:szCs w:val="24"/>
        </w:rPr>
        <w:t>学校</w:t>
      </w:r>
      <w:r>
        <w:rPr>
          <w:rFonts w:hint="eastAsia" w:ascii="仿宋" w:hAnsi="仿宋" w:eastAsia="仿宋"/>
          <w:sz w:val="24"/>
          <w:szCs w:val="24"/>
          <w:lang w:val="en-US" w:eastAsia="zh-CN"/>
        </w:rPr>
        <w:t>建设了一支</w:t>
      </w:r>
      <w:r>
        <w:rPr>
          <w:rFonts w:hint="eastAsia" w:ascii="仿宋" w:hAnsi="仿宋" w:eastAsia="仿宋"/>
          <w:sz w:val="24"/>
          <w:szCs w:val="24"/>
        </w:rPr>
        <w:t>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w:t>
      </w:r>
      <w:r>
        <w:rPr>
          <w:rFonts w:hint="eastAsia" w:ascii="仿宋" w:hAnsi="仿宋" w:eastAsia="仿宋"/>
          <w:sz w:val="24"/>
          <w:szCs w:val="24"/>
          <w:lang w:val="en-US" w:eastAsia="zh-CN"/>
        </w:rPr>
        <w:t>教学</w:t>
      </w:r>
      <w:r>
        <w:rPr>
          <w:rFonts w:hint="eastAsia" w:ascii="仿宋" w:hAnsi="仿宋" w:eastAsia="仿宋"/>
          <w:sz w:val="24"/>
          <w:szCs w:val="24"/>
        </w:rPr>
        <w:t>资源，能够满足在籍生在线学习需要，并实现招生、教学、考试、学籍、证书、收费等各环节的全流程</w:t>
      </w:r>
      <w:r>
        <w:rPr>
          <w:rFonts w:hint="eastAsia" w:ascii="仿宋" w:hAnsi="仿宋" w:eastAsia="仿宋"/>
          <w:sz w:val="24"/>
          <w:szCs w:val="24"/>
          <w:lang w:val="en-US" w:eastAsia="zh-CN"/>
        </w:rPr>
        <w:t>信息化</w:t>
      </w:r>
      <w:r>
        <w:rPr>
          <w:rFonts w:hint="eastAsia" w:ascii="仿宋" w:hAnsi="仿宋" w:eastAsia="仿宋"/>
          <w:sz w:val="24"/>
          <w:szCs w:val="24"/>
        </w:rPr>
        <w:t>管理。学校构建了学历继续教育内部质量保证体系，不断加强制度建设，保证流程规范、监管有效。学校保证正常教育教学的稳定经费投入，用于学历继续教育办学经费的比例</w:t>
      </w:r>
      <w:r>
        <w:rPr>
          <w:rFonts w:hint="eastAsia" w:ascii="仿宋" w:hAnsi="仿宋" w:eastAsia="仿宋"/>
          <w:sz w:val="24"/>
          <w:szCs w:val="24"/>
          <w:lang w:val="en-US" w:eastAsia="zh-CN"/>
        </w:rPr>
        <w:t>不低于</w:t>
      </w:r>
      <w:r>
        <w:rPr>
          <w:rFonts w:hint="eastAsia" w:ascii="仿宋" w:hAnsi="仿宋" w:eastAsia="仿宋"/>
          <w:sz w:val="24"/>
          <w:szCs w:val="24"/>
        </w:rPr>
        <w:t>学历继续教育学费总额的70%。</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rPr>
        <w:t>教学计划进程表</w:t>
      </w:r>
    </w:p>
    <w:p>
      <w:pPr>
        <w:widowControl/>
        <w:spacing w:line="430" w:lineRule="exact"/>
        <w:ind w:firstLine="480"/>
        <w:jc w:val="left"/>
        <w:rPr>
          <w:rFonts w:ascii="仿宋" w:hAnsi="仿宋" w:eastAsia="仿宋"/>
          <w:sz w:val="24"/>
          <w:szCs w:val="24"/>
        </w:rPr>
        <w:sectPr>
          <w:pgSz w:w="11906" w:h="16838"/>
          <w:pgMar w:top="1814" w:right="1474" w:bottom="1723" w:left="1587" w:header="851" w:footer="992" w:gutter="0"/>
          <w:cols w:space="425" w:num="1"/>
          <w:docGrid w:type="lines" w:linePitch="312" w:charSpace="0"/>
        </w:sectPr>
      </w:pPr>
    </w:p>
    <w:tbl>
      <w:tblPr>
        <w:tblStyle w:val="5"/>
        <w:tblW w:w="14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462"/>
        <w:gridCol w:w="1117"/>
        <w:gridCol w:w="2970"/>
        <w:gridCol w:w="665"/>
        <w:gridCol w:w="711"/>
        <w:gridCol w:w="784"/>
        <w:gridCol w:w="810"/>
        <w:gridCol w:w="671"/>
        <w:gridCol w:w="827"/>
        <w:gridCol w:w="816"/>
        <w:gridCol w:w="827"/>
        <w:gridCol w:w="886"/>
        <w:gridCol w:w="675"/>
        <w:gridCol w:w="443"/>
        <w:gridCol w:w="458"/>
        <w:gridCol w:w="492"/>
        <w:gridCol w:w="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4880" w:type="dxa"/>
            <w:gridSpan w:val="18"/>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大数据</w:t>
            </w:r>
            <w:r>
              <w:rPr>
                <w:rFonts w:hint="eastAsia" w:ascii="宋体" w:hAnsi="宋体" w:cs="宋体"/>
                <w:b/>
                <w:bCs/>
                <w:i w:val="0"/>
                <w:iCs w:val="0"/>
                <w:color w:val="000000"/>
                <w:kern w:val="0"/>
                <w:sz w:val="28"/>
                <w:szCs w:val="28"/>
                <w:u w:val="none"/>
                <w:lang w:val="en-US" w:eastAsia="zh-CN" w:bidi="ar"/>
              </w:rPr>
              <w:t>与会计</w:t>
            </w:r>
            <w:r>
              <w:rPr>
                <w:rFonts w:hint="eastAsia" w:ascii="宋体" w:hAnsi="宋体" w:eastAsia="宋体" w:cs="宋体"/>
                <w:b/>
                <w:bCs/>
                <w:i w:val="0"/>
                <w:iCs w:val="0"/>
                <w:color w:val="000000"/>
                <w:kern w:val="0"/>
                <w:sz w:val="28"/>
                <w:szCs w:val="28"/>
                <w:u w:val="none"/>
                <w:lang w:val="en-US" w:eastAsia="zh-CN" w:bidi="ar"/>
              </w:rPr>
              <w:t>专业教学进程表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课程类别</w:t>
            </w:r>
          </w:p>
        </w:tc>
        <w:tc>
          <w:tcPr>
            <w:tcW w:w="4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29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课程名称</w:t>
            </w:r>
          </w:p>
        </w:tc>
        <w:tc>
          <w:tcPr>
            <w:tcW w:w="66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学分</w:t>
            </w:r>
          </w:p>
        </w:tc>
        <w:tc>
          <w:tcPr>
            <w:tcW w:w="7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总学时</w:t>
            </w:r>
          </w:p>
        </w:tc>
        <w:tc>
          <w:tcPr>
            <w:tcW w:w="6296"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各学期学时分配</w:t>
            </w:r>
          </w:p>
        </w:tc>
        <w:tc>
          <w:tcPr>
            <w:tcW w:w="1833"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81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67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实训</w:t>
            </w:r>
          </w:p>
        </w:tc>
        <w:tc>
          <w:tcPr>
            <w:tcW w:w="8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81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8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8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6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44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过程性考核</w:t>
            </w:r>
          </w:p>
        </w:tc>
        <w:tc>
          <w:tcPr>
            <w:tcW w:w="1390"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82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6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1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1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闭卷</w:t>
            </w:r>
          </w:p>
        </w:tc>
        <w:tc>
          <w:tcPr>
            <w:tcW w:w="4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开卷</w:t>
            </w:r>
          </w:p>
        </w:tc>
        <w:tc>
          <w:tcPr>
            <w:tcW w:w="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GG231001</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思想道德与法治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GG241002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XS241001</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XS241002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XS241003</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XS241004</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XS241005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形势与政策5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GG231007</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英语A1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GG231008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英语A2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GG231009</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应用文写作</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计算机文化基础</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GG231011</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高等数学1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GG231012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高等数学2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GG231013</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线性代数和概率统计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GG241017</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心理健康教育</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会计学原理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JG241043</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JG231044</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JG231046</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会计信息化</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JG241027</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税法</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JG241047</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JG231048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内部控制</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JG241012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JG241049</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税收筹划</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JG241009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高级财务会计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JG231002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财务报告分析</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JG231050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22" w:leftChars="-58" w:right="-105" w:rightChars="-50" w:firstLine="22" w:firstLineChars="1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职业能力拓展课</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GG241014</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职业素养课1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GG241015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职业素养课2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实践教学</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JG241056</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大数据与会计专业入学教育</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GG241018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思想政治理论课实践教学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JG241057</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大数据与会计专业毕业教育</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JG241058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大数据与会计专业毕业实习</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JG231051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大数据与智能会计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JG231052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财务共享应用</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JG231053</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财务机器人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JG231054</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集团财务管控实验</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JG241005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大数据与会计专业毕业论文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7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keepNext w:val="0"/>
        <w:keepLines w:val="0"/>
        <w:pageBreakBefore w:val="0"/>
        <w:widowControl/>
        <w:kinsoku/>
        <w:wordWrap/>
        <w:overflowPunct/>
        <w:topLinePunct w:val="0"/>
        <w:autoSpaceDE/>
        <w:autoSpaceDN/>
        <w:bidi w:val="0"/>
        <w:adjustRightInd/>
        <w:snapToGrid/>
        <w:spacing w:line="14" w:lineRule="exact"/>
        <w:jc w:val="left"/>
        <w:textAlignment w:val="auto"/>
        <w:rPr>
          <w:rFonts w:ascii="仿宋" w:hAnsi="仿宋" w:eastAsia="仿宋"/>
          <w:sz w:val="24"/>
          <w:szCs w:val="24"/>
        </w:rPr>
      </w:pPr>
      <w:bookmarkStart w:id="3" w:name="_GoBack"/>
      <w:bookmarkEnd w:id="3"/>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631C5"/>
    <w:multiLevelType w:val="singleLevel"/>
    <w:tmpl w:val="1E8631C5"/>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lZmFmNWIzNGI4NTNkNTZlODY3NGYyNjU5MDEifQ=="/>
    <w:docVar w:name="KSO_WPS_MARK_KEY" w:val="bba4e4e8-341c-4b5e-b807-3a91c9f3e2e1"/>
  </w:docVars>
  <w:rsids>
    <w:rsidRoot w:val="001B4556"/>
    <w:rsid w:val="00071608"/>
    <w:rsid w:val="00121394"/>
    <w:rsid w:val="00163EC6"/>
    <w:rsid w:val="001A59DE"/>
    <w:rsid w:val="001B4556"/>
    <w:rsid w:val="002751CD"/>
    <w:rsid w:val="00377194"/>
    <w:rsid w:val="008B08CD"/>
    <w:rsid w:val="00965C81"/>
    <w:rsid w:val="00972A87"/>
    <w:rsid w:val="009F1481"/>
    <w:rsid w:val="00C94FC1"/>
    <w:rsid w:val="00EA7CE4"/>
    <w:rsid w:val="00F55218"/>
    <w:rsid w:val="03C52F82"/>
    <w:rsid w:val="041D4A09"/>
    <w:rsid w:val="146A5814"/>
    <w:rsid w:val="17502713"/>
    <w:rsid w:val="1994110C"/>
    <w:rsid w:val="271E248E"/>
    <w:rsid w:val="2B2C517A"/>
    <w:rsid w:val="2C9034E6"/>
    <w:rsid w:val="2D12214D"/>
    <w:rsid w:val="32B4730F"/>
    <w:rsid w:val="37E84C0D"/>
    <w:rsid w:val="38FF3672"/>
    <w:rsid w:val="3A1A753D"/>
    <w:rsid w:val="41D136EE"/>
    <w:rsid w:val="468F3B6D"/>
    <w:rsid w:val="479A263B"/>
    <w:rsid w:val="4F646C58"/>
    <w:rsid w:val="697D7C46"/>
    <w:rsid w:val="71554822"/>
    <w:rsid w:val="786B68AE"/>
    <w:rsid w:val="7E860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rPr>
      <w:sz w:val="24"/>
    </w:rPr>
  </w:style>
  <w:style w:type="character" w:customStyle="1" w:styleId="7">
    <w:name w:val="样式2 Char"/>
    <w:link w:val="8"/>
    <w:autoRedefine/>
    <w:qFormat/>
    <w:uiPriority w:val="99"/>
    <w:rPr>
      <w:rFonts w:ascii="黑体" w:eastAsia="黑体"/>
      <w:sz w:val="24"/>
      <w:szCs w:val="28"/>
    </w:rPr>
  </w:style>
  <w:style w:type="paragraph" w:customStyle="1" w:styleId="8">
    <w:name w:val="样式2"/>
    <w:basedOn w:val="1"/>
    <w:link w:val="7"/>
    <w:autoRedefine/>
    <w:qFormat/>
    <w:uiPriority w:val="99"/>
    <w:pPr>
      <w:spacing w:beforeLines="30" w:afterLines="30"/>
      <w:ind w:firstLine="560" w:firstLineChars="200"/>
    </w:pPr>
    <w:rPr>
      <w:rFonts w:ascii="黑体" w:hAnsi="Times New Roman" w:eastAsia="黑体"/>
      <w:kern w:val="0"/>
      <w:sz w:val="24"/>
      <w:szCs w:val="28"/>
    </w:rPr>
  </w:style>
  <w:style w:type="character" w:customStyle="1" w:styleId="9">
    <w:name w:val="页眉 字符"/>
    <w:basedOn w:val="6"/>
    <w:link w:val="3"/>
    <w:qFormat/>
    <w:uiPriority w:val="0"/>
    <w:rPr>
      <w:rFonts w:ascii="Calibri" w:hAnsi="Calibri"/>
      <w:kern w:val="2"/>
      <w:sz w:val="18"/>
      <w:szCs w:val="18"/>
    </w:rPr>
  </w:style>
  <w:style w:type="character" w:customStyle="1" w:styleId="10">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2115</Words>
  <Characters>2608</Characters>
  <Lines>12</Lines>
  <Paragraphs>3</Paragraphs>
  <TotalTime>14</TotalTime>
  <ScaleCrop>false</ScaleCrop>
  <LinksUpToDate>false</LinksUpToDate>
  <CharactersWithSpaces>2608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2021-01-11T02:45:00Z</dcterms:created>
  <dc:creator>Administrator</dc:creator>
  <cp:lastModifiedBy>要求</cp:lastModifiedBy>
  <cp:lastPrinted>2019-07-01T06:58:00Z</cp:lastPrinted>
  <dcterms:modified xsi:type="dcterms:W3CDTF">2024-03-05T07:27:19Z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94E0CEE842D34D80A14811B8003D3573</vt:lpwstr>
  </property>
</Properties>
</file>